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5165" w14:textId="77777777" w:rsidR="009A5574" w:rsidRDefault="009A5574" w:rsidP="009A5574">
      <w:pPr>
        <w:jc w:val="center"/>
      </w:pPr>
    </w:p>
    <w:p w14:paraId="2813C62A" w14:textId="77777777" w:rsidR="009A5574" w:rsidRDefault="009A5574" w:rsidP="009A5574">
      <w:pPr>
        <w:jc w:val="center"/>
      </w:pPr>
    </w:p>
    <w:p w14:paraId="6ECBAED5" w14:textId="77777777" w:rsidR="009A5574" w:rsidRDefault="009A5574" w:rsidP="009A5574">
      <w:pPr>
        <w:jc w:val="center"/>
      </w:pPr>
    </w:p>
    <w:p w14:paraId="716DF030" w14:textId="7C39DEDF" w:rsidR="00471B7B" w:rsidRDefault="009A5574" w:rsidP="009A5574">
      <w:pPr>
        <w:jc w:val="center"/>
      </w:pPr>
      <w:r>
        <w:t>Business Case for Diversity</w:t>
      </w:r>
    </w:p>
    <w:p w14:paraId="443D7B2F" w14:textId="54547C45" w:rsidR="009A5574" w:rsidRDefault="009A5574" w:rsidP="009A5574">
      <w:pPr>
        <w:jc w:val="center"/>
      </w:pPr>
      <w:r>
        <w:t xml:space="preserve">A few articles </w:t>
      </w:r>
    </w:p>
    <w:p w14:paraId="0F9049B9" w14:textId="77777777" w:rsidR="009A5574" w:rsidRDefault="009A5574" w:rsidP="007577DE">
      <w:pPr>
        <w:rPr>
          <w:i/>
          <w:iCs/>
          <w:sz w:val="32"/>
          <w:szCs w:val="32"/>
        </w:rPr>
      </w:pPr>
    </w:p>
    <w:p w14:paraId="146A6D35" w14:textId="6E6007A9" w:rsidR="009238D6" w:rsidRDefault="009238D6" w:rsidP="009238D6">
      <w:pPr>
        <w:outlineLvl w:val="0"/>
        <w:rPr>
          <w:rFonts w:ascii="Lato" w:hAnsi="Lato"/>
          <w:color w:val="818181"/>
          <w:sz w:val="21"/>
          <w:szCs w:val="21"/>
          <w:bdr w:val="none" w:sz="0" w:space="0" w:color="auto" w:frame="1"/>
        </w:rPr>
      </w:pPr>
      <w:r>
        <w:rPr>
          <w:rFonts w:ascii="Lato" w:hAnsi="Lato"/>
          <w:color w:val="818181"/>
          <w:sz w:val="21"/>
          <w:szCs w:val="21"/>
          <w:bdr w:val="none" w:sz="0" w:space="0" w:color="auto" w:frame="1"/>
        </w:rPr>
        <w:t>The Health Care Transformation Task Force is excited to announce the release of</w:t>
      </w:r>
      <w:r>
        <w:rPr>
          <w:rStyle w:val="apple-converted-space"/>
          <w:rFonts w:ascii="Lato" w:hAnsi="Lato"/>
          <w:color w:val="818181"/>
          <w:sz w:val="21"/>
          <w:szCs w:val="21"/>
          <w:bdr w:val="none" w:sz="0" w:space="0" w:color="auto" w:frame="1"/>
        </w:rPr>
        <w:t> </w:t>
      </w:r>
      <w:hyperlink r:id="rId7" w:history="1">
        <w:r>
          <w:rPr>
            <w:rStyle w:val="Hyperlink"/>
            <w:rFonts w:ascii="Montserrat" w:hAnsi="Montserrat"/>
            <w:b/>
            <w:bCs/>
            <w:i/>
            <w:iCs/>
            <w:caps/>
            <w:color w:val="EB623D"/>
            <w:sz w:val="21"/>
            <w:szCs w:val="21"/>
            <w:u w:val="none"/>
            <w:bdr w:val="none" w:sz="0" w:space="0" w:color="auto" w:frame="1"/>
          </w:rPr>
          <w:t>BUILDING THE BUSINESS CASE FOR HEALTH EQUITY INVESTMENT: STRATEGIES TO SECURE SUSTAINABLE SUPPORT</w:t>
        </w:r>
        <w:r>
          <w:rPr>
            <w:rStyle w:val="apple-converted-space"/>
            <w:rFonts w:ascii="Montserrat" w:hAnsi="Montserrat"/>
            <w:b/>
            <w:bCs/>
            <w:i/>
            <w:iCs/>
            <w:caps/>
            <w:color w:val="EB623D"/>
            <w:sz w:val="21"/>
            <w:szCs w:val="21"/>
            <w:bdr w:val="none" w:sz="0" w:space="0" w:color="auto" w:frame="1"/>
          </w:rPr>
          <w:t> </w:t>
        </w:r>
        <w:r>
          <w:rPr>
            <w:rStyle w:val="Hyperlink"/>
            <w:rFonts w:ascii="Montserrat" w:hAnsi="Montserrat"/>
            <w:b/>
            <w:bCs/>
            <w:i/>
            <w:iCs/>
            <w:caps/>
            <w:color w:val="EB623D"/>
            <w:sz w:val="21"/>
            <w:szCs w:val="21"/>
            <w:u w:val="none"/>
            <w:bdr w:val="none" w:sz="0" w:space="0" w:color="auto" w:frame="1"/>
          </w:rPr>
          <w:t>(</w:t>
        </w:r>
        <w:r>
          <w:rPr>
            <w:rStyle w:val="Hyperlink"/>
            <w:rFonts w:ascii="Montserrat" w:hAnsi="Montserrat"/>
            <w:b/>
            <w:bCs/>
            <w:caps/>
            <w:color w:val="EB623D"/>
            <w:sz w:val="21"/>
            <w:szCs w:val="21"/>
            <w:u w:val="none"/>
            <w:bdr w:val="none" w:sz="0" w:space="0" w:color="auto" w:frame="1"/>
          </w:rPr>
          <w:t>BUSINESS CASE</w:t>
        </w:r>
        <w:r>
          <w:rPr>
            <w:rStyle w:val="Hyperlink"/>
            <w:rFonts w:ascii="Montserrat" w:hAnsi="Montserrat"/>
            <w:b/>
            <w:bCs/>
            <w:i/>
            <w:iCs/>
            <w:caps/>
            <w:color w:val="EB623D"/>
            <w:sz w:val="21"/>
            <w:szCs w:val="21"/>
            <w:u w:val="none"/>
            <w:bdr w:val="none" w:sz="0" w:space="0" w:color="auto" w:frame="1"/>
          </w:rPr>
          <w:t>)</w:t>
        </w:r>
      </w:hyperlink>
      <w:r>
        <w:rPr>
          <w:rFonts w:ascii="Lato" w:hAnsi="Lato"/>
          <w:color w:val="818181"/>
          <w:sz w:val="21"/>
          <w:szCs w:val="21"/>
          <w:bdr w:val="none" w:sz="0" w:space="0" w:color="auto" w:frame="1"/>
        </w:rPr>
        <w:t>.</w:t>
      </w:r>
      <w:r>
        <w:rPr>
          <w:rStyle w:val="apple-converted-space"/>
          <w:rFonts w:ascii="Lato" w:hAnsi="Lato"/>
          <w:color w:val="818181"/>
          <w:sz w:val="21"/>
          <w:szCs w:val="21"/>
          <w:bdr w:val="none" w:sz="0" w:space="0" w:color="auto" w:frame="1"/>
        </w:rPr>
        <w:t> </w:t>
      </w:r>
      <w:r>
        <w:rPr>
          <w:rFonts w:ascii="Lato" w:hAnsi="Lato"/>
          <w:color w:val="818181"/>
          <w:sz w:val="21"/>
          <w:szCs w:val="21"/>
          <w:bdr w:val="none" w:sz="0" w:space="0" w:color="auto" w:frame="1"/>
        </w:rPr>
        <w:t>This resource offers concrete and practical information for how to bring health care organizations’ leadership on board with investing in and addressing health equity. </w:t>
      </w:r>
    </w:p>
    <w:p w14:paraId="26C86D5D" w14:textId="6EDFB7A5" w:rsidR="009238D6" w:rsidRDefault="009238D6" w:rsidP="009238D6">
      <w:pPr>
        <w:outlineLvl w:val="0"/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</w:pPr>
      <w:hyperlink r:id="rId8" w:history="1">
        <w:r w:rsidRPr="00A13BA3">
          <w:rPr>
            <w:rStyle w:val="Hyperlink"/>
            <w:rFonts w:eastAsia="Times New Roman" w:cstheme="minorHAnsi"/>
            <w:spacing w:val="-30"/>
            <w:kern w:val="36"/>
            <w:sz w:val="32"/>
            <w:szCs w:val="32"/>
            <w14:ligatures w14:val="none"/>
          </w:rPr>
          <w:t>https://hcttf.org/building-the-business-case-for-health-equity-investment/</w:t>
        </w:r>
      </w:hyperlink>
    </w:p>
    <w:p w14:paraId="012A32CA" w14:textId="77777777" w:rsidR="009238D6" w:rsidRDefault="009238D6" w:rsidP="009238D6">
      <w:pPr>
        <w:outlineLvl w:val="0"/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</w:pPr>
    </w:p>
    <w:p w14:paraId="1E3FD8F7" w14:textId="18B077D0" w:rsidR="009238D6" w:rsidRDefault="009238D6" w:rsidP="009238D6">
      <w:pPr>
        <w:outlineLvl w:val="0"/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</w:pPr>
      <w:r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  <w:t xml:space="preserve">They’re Making the </w:t>
      </w:r>
      <w:r w:rsidR="00C10A0A"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  <w:t xml:space="preserve">business case for health </w:t>
      </w:r>
      <w:proofErr w:type="gramStart"/>
      <w:r w:rsidR="00C10A0A"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  <w:t>equity</w:t>
      </w:r>
      <w:proofErr w:type="gramEnd"/>
      <w:r w:rsidR="00C10A0A"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  <w:t xml:space="preserve"> </w:t>
      </w:r>
    </w:p>
    <w:p w14:paraId="68990DE8" w14:textId="5875EE8B" w:rsidR="009238D6" w:rsidRDefault="009238D6" w:rsidP="009238D6">
      <w:pPr>
        <w:outlineLvl w:val="0"/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</w:pPr>
      <w:hyperlink r:id="rId9" w:history="1">
        <w:r w:rsidRPr="00A13BA3">
          <w:rPr>
            <w:rStyle w:val="Hyperlink"/>
            <w:rFonts w:eastAsia="Times New Roman" w:cstheme="minorHAnsi"/>
            <w:spacing w:val="-30"/>
            <w:kern w:val="36"/>
            <w:sz w:val="32"/>
            <w:szCs w:val="32"/>
            <w14:ligatures w14:val="none"/>
          </w:rPr>
          <w:t>https://coverage.bluecrossma.com/article/making-business-case-health-equity</w:t>
        </w:r>
      </w:hyperlink>
    </w:p>
    <w:p w14:paraId="20FD3E00" w14:textId="77777777" w:rsidR="009238D6" w:rsidRDefault="009238D6" w:rsidP="009238D6">
      <w:pPr>
        <w:outlineLvl w:val="0"/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</w:pPr>
    </w:p>
    <w:p w14:paraId="706124B9" w14:textId="44EC947D" w:rsidR="00C10A0A" w:rsidRDefault="00C10A0A" w:rsidP="009238D6">
      <w:pPr>
        <w:outlineLvl w:val="0"/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</w:pPr>
      <w:r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  <w:t>The Business Case for Investing in Health Equity</w:t>
      </w:r>
    </w:p>
    <w:p w14:paraId="57980A98" w14:textId="7ECB2763" w:rsidR="00C10A0A" w:rsidRDefault="00C10A0A" w:rsidP="009238D6">
      <w:pPr>
        <w:outlineLvl w:val="0"/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</w:pPr>
      <w:hyperlink r:id="rId10" w:history="1">
        <w:r w:rsidRPr="00A13BA3">
          <w:rPr>
            <w:rStyle w:val="Hyperlink"/>
            <w:rFonts w:eastAsia="Times New Roman" w:cstheme="minorHAnsi"/>
            <w:spacing w:val="-30"/>
            <w:kern w:val="36"/>
            <w:sz w:val="32"/>
            <w:szCs w:val="32"/>
            <w14:ligatures w14:val="none"/>
          </w:rPr>
          <w:t>https://terrygroup.com/the-business-case-for-investing-in-health-equity/</w:t>
        </w:r>
      </w:hyperlink>
    </w:p>
    <w:p w14:paraId="72505AD7" w14:textId="77777777" w:rsidR="009238D6" w:rsidRDefault="009238D6" w:rsidP="009238D6">
      <w:pPr>
        <w:outlineLvl w:val="0"/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</w:pPr>
    </w:p>
    <w:p w14:paraId="2D1E02FB" w14:textId="2F34B758" w:rsidR="009A5574" w:rsidRPr="009238D6" w:rsidRDefault="009238D6" w:rsidP="009238D6">
      <w:pPr>
        <w:outlineLvl w:val="0"/>
        <w:rPr>
          <w:rFonts w:eastAsia="Times New Roman" w:cstheme="minorHAnsi"/>
          <w:color w:val="110081"/>
          <w:spacing w:val="-30"/>
          <w:kern w:val="36"/>
          <w14:ligatures w14:val="none"/>
        </w:rPr>
      </w:pPr>
      <w:r w:rsidRPr="009238D6"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  <w:t xml:space="preserve">There’s a Business Case for Health Equity and Companies are all on the Hook to Achieve it, says </w:t>
      </w:r>
      <w:proofErr w:type="gramStart"/>
      <w:r w:rsidRPr="009238D6"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  <w:t>EY</w:t>
      </w:r>
      <w:r>
        <w:rPr>
          <w:rFonts w:eastAsia="Times New Roman" w:cstheme="minorHAnsi"/>
          <w:color w:val="110081"/>
          <w:spacing w:val="-30"/>
          <w:kern w:val="36"/>
          <w:sz w:val="32"/>
          <w:szCs w:val="32"/>
          <w14:ligatures w14:val="none"/>
        </w:rPr>
        <w:t xml:space="preserve">  </w:t>
      </w:r>
      <w:r w:rsidRPr="009238D6">
        <w:t>This</w:t>
      </w:r>
      <w:proofErr w:type="gramEnd"/>
      <w:r w:rsidRPr="009238D6">
        <w:t xml:space="preserve"> has </w:t>
      </w:r>
      <w:r>
        <w:t>a technology focus but also highlights points on healthcare employer workforce equity as a path to improving patient equity outcomes</w:t>
      </w:r>
    </w:p>
    <w:p w14:paraId="6900D5C2" w14:textId="574394DF" w:rsidR="009238D6" w:rsidRPr="009238D6" w:rsidRDefault="009238D6" w:rsidP="007577DE">
      <w:pPr>
        <w:rPr>
          <w:sz w:val="32"/>
          <w:szCs w:val="32"/>
        </w:rPr>
      </w:pPr>
      <w:hyperlink r:id="rId11" w:history="1">
        <w:r w:rsidRPr="009238D6">
          <w:rPr>
            <w:rStyle w:val="Hyperlink"/>
            <w:sz w:val="32"/>
            <w:szCs w:val="32"/>
          </w:rPr>
          <w:t>https://newsroom.thecignagroup.com/buisness-case-for-health-equity-ey-research</w:t>
        </w:r>
      </w:hyperlink>
    </w:p>
    <w:p w14:paraId="0208E0B8" w14:textId="77777777" w:rsidR="009238D6" w:rsidRDefault="009238D6" w:rsidP="007577DE">
      <w:pPr>
        <w:rPr>
          <w:i/>
          <w:iCs/>
          <w:sz w:val="32"/>
          <w:szCs w:val="32"/>
        </w:rPr>
      </w:pPr>
    </w:p>
    <w:p w14:paraId="320F2B5E" w14:textId="77777777" w:rsidR="009238D6" w:rsidRDefault="009238D6" w:rsidP="007577DE">
      <w:pPr>
        <w:rPr>
          <w:i/>
          <w:iCs/>
          <w:sz w:val="32"/>
          <w:szCs w:val="32"/>
        </w:rPr>
      </w:pPr>
    </w:p>
    <w:p w14:paraId="3C96D8E2" w14:textId="601573FA" w:rsidR="007577DE" w:rsidRPr="009A5574" w:rsidRDefault="007577DE" w:rsidP="007577DE">
      <w:pPr>
        <w:rPr>
          <w:sz w:val="32"/>
          <w:szCs w:val="32"/>
        </w:rPr>
      </w:pPr>
      <w:r w:rsidRPr="009A5574">
        <w:rPr>
          <w:i/>
          <w:iCs/>
          <w:sz w:val="32"/>
          <w:szCs w:val="32"/>
        </w:rPr>
        <w:t>Diversity and Inclusion Wins</w:t>
      </w:r>
      <w:r w:rsidRPr="009A5574">
        <w:rPr>
          <w:sz w:val="32"/>
          <w:szCs w:val="32"/>
        </w:rPr>
        <w:t xml:space="preserve"> McKinsey 2020</w:t>
      </w:r>
    </w:p>
    <w:p w14:paraId="020B36EA" w14:textId="77777777" w:rsidR="007577DE" w:rsidRDefault="00000000" w:rsidP="007577DE">
      <w:hyperlink r:id="rId12" w:anchor="/" w:history="1">
        <w:r w:rsidR="007577DE" w:rsidRPr="00761A5E">
          <w:rPr>
            <w:rStyle w:val="Hyperlink"/>
          </w:rPr>
          <w:t>https://www.mckinsey.com/featured-insights/diversity-and-inclusion/diversity-wins-how-inclusion-matters#/</w:t>
        </w:r>
      </w:hyperlink>
    </w:p>
    <w:p w14:paraId="03465633" w14:textId="77777777" w:rsidR="007577DE" w:rsidRDefault="007577DE" w:rsidP="007577DE"/>
    <w:p w14:paraId="3C6595EE" w14:textId="77777777" w:rsidR="007577DE" w:rsidRDefault="007577DE" w:rsidP="007577DE"/>
    <w:p w14:paraId="2035AD2A" w14:textId="77777777" w:rsidR="007577DE" w:rsidRPr="001E1A0D" w:rsidRDefault="007577DE" w:rsidP="007577DE">
      <w:pPr>
        <w:rPr>
          <w:sz w:val="28"/>
          <w:szCs w:val="28"/>
        </w:rPr>
      </w:pPr>
    </w:p>
    <w:p w14:paraId="4640F10F" w14:textId="77777777" w:rsidR="007577DE" w:rsidRPr="009A5574" w:rsidRDefault="007577DE" w:rsidP="007577DE">
      <w:pPr>
        <w:rPr>
          <w:sz w:val="32"/>
          <w:szCs w:val="32"/>
        </w:rPr>
      </w:pPr>
      <w:r w:rsidRPr="009A5574">
        <w:rPr>
          <w:i/>
          <w:iCs/>
          <w:sz w:val="32"/>
          <w:szCs w:val="32"/>
        </w:rPr>
        <w:t>How and Why Diversity Drives Financial Performance</w:t>
      </w:r>
      <w:r w:rsidRPr="009A5574">
        <w:rPr>
          <w:sz w:val="32"/>
          <w:szCs w:val="32"/>
        </w:rPr>
        <w:t xml:space="preserve"> Harvard Business Review 2018</w:t>
      </w:r>
    </w:p>
    <w:p w14:paraId="446CAD42" w14:textId="77777777" w:rsidR="007577DE" w:rsidRDefault="00000000" w:rsidP="007577DE">
      <w:hyperlink r:id="rId13" w:history="1">
        <w:r w:rsidR="007577DE" w:rsidRPr="00761A5E">
          <w:rPr>
            <w:rStyle w:val="Hyperlink"/>
          </w:rPr>
          <w:t>https://hbr.org/2018/01/how-and-where-diversity-drives-financial-performance</w:t>
        </w:r>
      </w:hyperlink>
    </w:p>
    <w:p w14:paraId="183F8A88" w14:textId="77777777" w:rsidR="007577DE" w:rsidRDefault="007577DE" w:rsidP="007577DE"/>
    <w:p w14:paraId="58B236CE" w14:textId="77777777" w:rsidR="007577DE" w:rsidRPr="009A5574" w:rsidRDefault="007577DE" w:rsidP="007577DE">
      <w:pPr>
        <w:rPr>
          <w:sz w:val="32"/>
          <w:szCs w:val="32"/>
        </w:rPr>
      </w:pPr>
    </w:p>
    <w:p w14:paraId="47ED6DE7" w14:textId="77777777" w:rsidR="007577DE" w:rsidRPr="009A5574" w:rsidRDefault="007577DE" w:rsidP="007577DE">
      <w:pPr>
        <w:rPr>
          <w:sz w:val="32"/>
          <w:szCs w:val="32"/>
        </w:rPr>
      </w:pPr>
      <w:r w:rsidRPr="009A5574">
        <w:rPr>
          <w:sz w:val="32"/>
          <w:szCs w:val="32"/>
        </w:rPr>
        <w:t>The Business Case for More Diversity. Wall Street Journal</w:t>
      </w:r>
    </w:p>
    <w:p w14:paraId="7A9E146D" w14:textId="77777777" w:rsidR="007577DE" w:rsidRDefault="00000000" w:rsidP="007577DE">
      <w:hyperlink r:id="rId14" w:history="1">
        <w:r w:rsidR="007577DE" w:rsidRPr="00761A5E">
          <w:rPr>
            <w:rStyle w:val="Hyperlink"/>
          </w:rPr>
          <w:t>https://www.wsj.com/articles/the-business-case-for-more-diversity-11572091200?reflink=desktopwebshare_permalink</w:t>
        </w:r>
      </w:hyperlink>
    </w:p>
    <w:p w14:paraId="68A82B2A" w14:textId="77777777" w:rsidR="007577DE" w:rsidRDefault="007577DE">
      <w:pPr>
        <w:rPr>
          <w:i/>
          <w:iCs/>
          <w:sz w:val="28"/>
          <w:szCs w:val="28"/>
        </w:rPr>
      </w:pPr>
    </w:p>
    <w:p w14:paraId="3300B119" w14:textId="77777777" w:rsidR="007577DE" w:rsidRDefault="007577DE">
      <w:pPr>
        <w:rPr>
          <w:i/>
          <w:iCs/>
          <w:sz w:val="28"/>
          <w:szCs w:val="28"/>
        </w:rPr>
      </w:pPr>
    </w:p>
    <w:p w14:paraId="420B9A1E" w14:textId="168CCF7D" w:rsidR="00471B7B" w:rsidRDefault="00E354EE">
      <w:r w:rsidRPr="009A5574">
        <w:rPr>
          <w:i/>
          <w:iCs/>
          <w:sz w:val="32"/>
          <w:szCs w:val="32"/>
        </w:rPr>
        <w:t>Stop Making the Business Case for Diversity</w:t>
      </w:r>
      <w:r w:rsidRPr="009A5574">
        <w:rPr>
          <w:sz w:val="32"/>
          <w:szCs w:val="32"/>
        </w:rPr>
        <w:t xml:space="preserve"> 2022 Harvard Business</w:t>
      </w:r>
      <w:r w:rsidRPr="001E1A0D">
        <w:rPr>
          <w:sz w:val="28"/>
          <w:szCs w:val="28"/>
        </w:rPr>
        <w:t xml:space="preserve"> Review</w:t>
      </w:r>
      <w:r>
        <w:t xml:space="preserve"> – they argue in this article that it is a turn-off for potential employees.  I get that.  But the argument for the business case is for the C-Suite folks.  The argument about the moral imperative is for the employees.  I say leverage both.  </w:t>
      </w:r>
    </w:p>
    <w:p w14:paraId="543A5301" w14:textId="660E32CF" w:rsidR="00471B7B" w:rsidRDefault="00000000">
      <w:hyperlink r:id="rId15" w:history="1">
        <w:r w:rsidR="00471B7B" w:rsidRPr="00761A5E">
          <w:rPr>
            <w:rStyle w:val="Hyperlink"/>
          </w:rPr>
          <w:t>file:///Users/staciewalton/Downloads/H073LS-PDF-ENG%20(1).PDF</w:t>
        </w:r>
      </w:hyperlink>
    </w:p>
    <w:p w14:paraId="13D0BF75" w14:textId="77777777" w:rsidR="006E6A5A" w:rsidRDefault="006E6A5A"/>
    <w:p w14:paraId="306DAE0E" w14:textId="77777777" w:rsidR="007577DE" w:rsidRDefault="007577DE"/>
    <w:p w14:paraId="4979C788" w14:textId="77777777" w:rsidR="007577DE" w:rsidRPr="009A5574" w:rsidRDefault="007577DE" w:rsidP="007577DE">
      <w:pPr>
        <w:rPr>
          <w:sz w:val="32"/>
          <w:szCs w:val="32"/>
        </w:rPr>
      </w:pPr>
      <w:r w:rsidRPr="009A5574">
        <w:rPr>
          <w:i/>
          <w:iCs/>
          <w:sz w:val="32"/>
          <w:szCs w:val="32"/>
        </w:rPr>
        <w:t xml:space="preserve">The Six traits of Inclusive </w:t>
      </w:r>
      <w:proofErr w:type="gramStart"/>
      <w:r w:rsidRPr="009A5574">
        <w:rPr>
          <w:i/>
          <w:iCs/>
          <w:sz w:val="32"/>
          <w:szCs w:val="32"/>
        </w:rPr>
        <w:t>Leadership :</w:t>
      </w:r>
      <w:proofErr w:type="gramEnd"/>
      <w:r w:rsidRPr="009A5574">
        <w:rPr>
          <w:i/>
          <w:iCs/>
          <w:sz w:val="32"/>
          <w:szCs w:val="32"/>
        </w:rPr>
        <w:t xml:space="preserve"> </w:t>
      </w:r>
      <w:r w:rsidRPr="009A5574">
        <w:rPr>
          <w:sz w:val="32"/>
          <w:szCs w:val="32"/>
        </w:rPr>
        <w:t>Deloitte 2016</w:t>
      </w:r>
    </w:p>
    <w:p w14:paraId="5FE89AA0" w14:textId="77777777" w:rsidR="007577DE" w:rsidRDefault="00000000" w:rsidP="007577DE">
      <w:hyperlink r:id="rId16" w:history="1">
        <w:r w:rsidR="007577DE" w:rsidRPr="00761A5E">
          <w:rPr>
            <w:rStyle w:val="Hyperlink"/>
          </w:rPr>
          <w:t>https://www2.deloitte.com/content/dam/Deloitte/au/Documents/human-capital/deloitte-au-hc-six-signature-traits-inclusive-leadership-020516.pdf</w:t>
        </w:r>
      </w:hyperlink>
    </w:p>
    <w:p w14:paraId="7543EA20" w14:textId="77777777" w:rsidR="007577DE" w:rsidRDefault="007577DE"/>
    <w:p w14:paraId="35A4AA4C" w14:textId="77777777" w:rsidR="00E354EE" w:rsidRDefault="00E354EE"/>
    <w:p w14:paraId="12DF63C7" w14:textId="77777777" w:rsidR="00E354EE" w:rsidRDefault="00E354EE"/>
    <w:p w14:paraId="715652CF" w14:textId="77777777" w:rsidR="001E1A0D" w:rsidRDefault="001E1A0D"/>
    <w:p w14:paraId="167FFB12" w14:textId="77777777" w:rsidR="00471B7B" w:rsidRDefault="00471B7B"/>
    <w:p w14:paraId="005A3571" w14:textId="77777777" w:rsidR="00471B7B" w:rsidRDefault="00471B7B"/>
    <w:p w14:paraId="5EB0E9A1" w14:textId="77777777" w:rsidR="00471B7B" w:rsidRDefault="00471B7B"/>
    <w:sectPr w:rsidR="00471B7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C6E6" w14:textId="77777777" w:rsidR="00A972B1" w:rsidRDefault="00A972B1" w:rsidP="009A5574">
      <w:r>
        <w:separator/>
      </w:r>
    </w:p>
  </w:endnote>
  <w:endnote w:type="continuationSeparator" w:id="0">
    <w:p w14:paraId="2B22CBFC" w14:textId="77777777" w:rsidR="00A972B1" w:rsidRDefault="00A972B1" w:rsidP="009A5574">
      <w:r>
        <w:continuationSeparator/>
      </w:r>
    </w:p>
  </w:endnote>
  <w:endnote w:type="continuationNotice" w:id="1">
    <w:p w14:paraId="0056B229" w14:textId="77777777" w:rsidR="00A972B1" w:rsidRDefault="00A97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PLAYLIST-SCRIPT">
    <w:altName w:val="Calibri"/>
    <w:panose1 w:val="020B0604020202020204"/>
    <w:charset w:val="00"/>
    <w:family w:val="auto"/>
    <w:pitch w:val="variable"/>
    <w:sig w:usb0="0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195F" w14:textId="762A4A21" w:rsidR="009A5574" w:rsidRDefault="009A5574">
    <w:pPr>
      <w:pStyle w:val="Footer"/>
    </w:pPr>
    <w:r>
      <w:t>Stacie Walton 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7B59" w14:textId="77777777" w:rsidR="00A972B1" w:rsidRDefault="00A972B1" w:rsidP="009A5574">
      <w:r>
        <w:separator/>
      </w:r>
    </w:p>
  </w:footnote>
  <w:footnote w:type="continuationSeparator" w:id="0">
    <w:p w14:paraId="6848698D" w14:textId="77777777" w:rsidR="00A972B1" w:rsidRDefault="00A972B1" w:rsidP="009A5574">
      <w:r>
        <w:continuationSeparator/>
      </w:r>
    </w:p>
  </w:footnote>
  <w:footnote w:type="continuationNotice" w:id="1">
    <w:p w14:paraId="316A3C12" w14:textId="77777777" w:rsidR="00A972B1" w:rsidRDefault="00A97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DD12" w14:textId="2B036ECA" w:rsidR="009A5574" w:rsidRDefault="009A5574">
    <w:pPr>
      <w:pStyle w:val="Header"/>
    </w:pPr>
    <w:r>
      <w:ptab w:relativeTo="margin" w:alignment="center" w:leader="none"/>
    </w:r>
    <w:r w:rsidRPr="009A5574">
      <w:rPr>
        <w:rFonts w:ascii="PLAYLIST-SCRIPT" w:hAnsi="PLAYLIST-SCRIPT"/>
        <w:sz w:val="28"/>
        <w:szCs w:val="28"/>
      </w:rPr>
      <w:ptab w:relativeTo="margin" w:alignment="right" w:leader="none"/>
    </w:r>
    <w:r w:rsidRPr="009A5574">
      <w:rPr>
        <w:rFonts w:ascii="PLAYLIST-SCRIPT" w:hAnsi="PLAYLIST-SCRIPT"/>
        <w:sz w:val="28"/>
        <w:szCs w:val="28"/>
      </w:rPr>
      <w:t>The Diversity Doctor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7B"/>
    <w:rsid w:val="00067333"/>
    <w:rsid w:val="00112406"/>
    <w:rsid w:val="001E1A0D"/>
    <w:rsid w:val="00471B7B"/>
    <w:rsid w:val="005611F0"/>
    <w:rsid w:val="00574BC2"/>
    <w:rsid w:val="006E6A5A"/>
    <w:rsid w:val="007577DE"/>
    <w:rsid w:val="009238D6"/>
    <w:rsid w:val="009A5574"/>
    <w:rsid w:val="00A972B1"/>
    <w:rsid w:val="00B95BCE"/>
    <w:rsid w:val="00C10A0A"/>
    <w:rsid w:val="00E354EE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1C4E"/>
  <w15:chartTrackingRefBased/>
  <w15:docId w15:val="{6764DFBC-39F6-2944-A20B-B0023AC6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8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B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74"/>
  </w:style>
  <w:style w:type="paragraph" w:styleId="Footer">
    <w:name w:val="footer"/>
    <w:basedOn w:val="Normal"/>
    <w:link w:val="FooterChar"/>
    <w:uiPriority w:val="99"/>
    <w:unhideWhenUsed/>
    <w:rsid w:val="009A5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74"/>
  </w:style>
  <w:style w:type="character" w:customStyle="1" w:styleId="Heading1Char">
    <w:name w:val="Heading 1 Char"/>
    <w:basedOn w:val="DefaultParagraphFont"/>
    <w:link w:val="Heading1"/>
    <w:uiPriority w:val="9"/>
    <w:rsid w:val="009238D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pple-converted-space">
    <w:name w:val="apple-converted-space"/>
    <w:basedOn w:val="DefaultParagraphFont"/>
    <w:rsid w:val="0092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ttf.org/building-the-business-case-for-health-equity-investment/" TargetMode="External"/><Relationship Id="rId13" Type="http://schemas.openxmlformats.org/officeDocument/2006/relationships/hyperlink" Target="https://hbr.org/2018/01/how-and-where-diversity-drives-financial-performanc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cttf.org/wp-content/uploads/2023/01/HEAG-Business-Case-Full_Final.pdf" TargetMode="External"/><Relationship Id="rId12" Type="http://schemas.openxmlformats.org/officeDocument/2006/relationships/hyperlink" Target="https://www.mckinsey.com/featured-insights/diversity-and-inclusion/diversity-wins-how-inclusion-matte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2.deloitte.com/content/dam/Deloitte/au/Documents/human-capital/deloitte-au-hc-six-signature-traits-inclusive-leadership-020516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wsroom.thecignagroup.com/buisness-case-for-health-equity-ey-research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Users/staciewalton/Downloads/H073LS-PDF-ENG%20(1).PDF" TargetMode="External"/><Relationship Id="rId10" Type="http://schemas.openxmlformats.org/officeDocument/2006/relationships/hyperlink" Target="https://terrygroup.com/the-business-case-for-investing-in-health-equit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verage.bluecrossma.com/article/making-business-case-health-equity" TargetMode="External"/><Relationship Id="rId14" Type="http://schemas.openxmlformats.org/officeDocument/2006/relationships/hyperlink" Target="https://www.wsj.com/articles/the-business-case-for-more-diversity-11572091200?reflink=desktopwebshare_perma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BA5982-F0C2-5B4D-AF23-B6C4AB28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Walton</dc:creator>
  <cp:keywords/>
  <dc:description/>
  <cp:lastModifiedBy>Kevonya Elzia</cp:lastModifiedBy>
  <cp:revision>2</cp:revision>
  <dcterms:created xsi:type="dcterms:W3CDTF">2023-04-20T17:01:00Z</dcterms:created>
  <dcterms:modified xsi:type="dcterms:W3CDTF">2023-04-20T17:01:00Z</dcterms:modified>
</cp:coreProperties>
</file>