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C7337" w14:textId="7BD4B667" w:rsidR="00A31B76" w:rsidRPr="00C312DE" w:rsidRDefault="00BD0924" w:rsidP="004C72E8">
      <w:pPr>
        <w:spacing w:before="100" w:beforeAutospacing="1" w:after="100" w:afterAutospacing="1"/>
        <w:rPr>
          <w:rFonts w:ascii="Calibri Light" w:eastAsia="Times New Roman" w:hAnsi="Calibri Light" w:cs="Calibri Light"/>
          <w:sz w:val="23"/>
          <w:szCs w:val="23"/>
        </w:rPr>
      </w:pPr>
      <w:r w:rsidRPr="00C312DE">
        <w:rPr>
          <w:rFonts w:ascii="Calibri Light" w:eastAsia="Times New Roman" w:hAnsi="Calibri Light" w:cs="Calibri Light"/>
          <w:sz w:val="23"/>
          <w:szCs w:val="23"/>
        </w:rPr>
        <w:t>The</w:t>
      </w:r>
      <w:r w:rsidR="00D168F2">
        <w:rPr>
          <w:rFonts w:ascii="Calibri Light" w:eastAsia="Times New Roman" w:hAnsi="Calibri Light" w:cs="Calibri Light"/>
          <w:sz w:val="23"/>
          <w:szCs w:val="23"/>
        </w:rPr>
        <w:t xml:space="preserve"> CDC recently released </w:t>
      </w:r>
      <w:hyperlink r:id="rId8" w:history="1">
        <w:r w:rsidR="00D168F2" w:rsidRPr="00D168F2">
          <w:rPr>
            <w:rStyle w:val="Hyperlink"/>
            <w:rFonts w:ascii="Calibri Light" w:eastAsia="Times New Roman" w:hAnsi="Calibri Light" w:cs="Calibri Light"/>
            <w:sz w:val="23"/>
            <w:szCs w:val="23"/>
          </w:rPr>
          <w:t>interim guidance</w:t>
        </w:r>
      </w:hyperlink>
      <w:r w:rsidR="00D168F2">
        <w:rPr>
          <w:rFonts w:ascii="Calibri Light" w:eastAsia="Times New Roman" w:hAnsi="Calibri Light" w:cs="Calibri Light"/>
          <w:sz w:val="23"/>
          <w:szCs w:val="23"/>
        </w:rPr>
        <w:t xml:space="preserve"> </w:t>
      </w:r>
      <w:r w:rsidRPr="00C312DE">
        <w:rPr>
          <w:rFonts w:ascii="Calibri Light" w:eastAsia="Times New Roman" w:hAnsi="Calibri Light" w:cs="Calibri Light"/>
          <w:sz w:val="23"/>
          <w:szCs w:val="23"/>
        </w:rPr>
        <w:t xml:space="preserve">for supporting individuals </w:t>
      </w:r>
      <w:r w:rsidR="00B15F7D" w:rsidRPr="00C312DE">
        <w:rPr>
          <w:rFonts w:ascii="Calibri Light" w:eastAsia="Times New Roman" w:hAnsi="Calibri Light" w:cs="Calibri Light"/>
          <w:sz w:val="23"/>
          <w:szCs w:val="23"/>
        </w:rPr>
        <w:t xml:space="preserve">with Post-COVID conditions, also known as </w:t>
      </w:r>
      <w:r w:rsidR="00604DC5">
        <w:rPr>
          <w:rFonts w:ascii="Calibri Light" w:eastAsia="Times New Roman" w:hAnsi="Calibri Light" w:cs="Calibri Light"/>
          <w:sz w:val="23"/>
          <w:szCs w:val="23"/>
        </w:rPr>
        <w:t>“</w:t>
      </w:r>
      <w:r w:rsidR="00B15F7D" w:rsidRPr="00C312DE">
        <w:rPr>
          <w:rFonts w:ascii="Calibri Light" w:eastAsia="Times New Roman" w:hAnsi="Calibri Light" w:cs="Calibri Light"/>
          <w:sz w:val="23"/>
          <w:szCs w:val="23"/>
        </w:rPr>
        <w:t>Long</w:t>
      </w:r>
      <w:r w:rsidR="00604DC5">
        <w:rPr>
          <w:rFonts w:ascii="Calibri Light" w:eastAsia="Times New Roman" w:hAnsi="Calibri Light" w:cs="Calibri Light"/>
          <w:sz w:val="23"/>
          <w:szCs w:val="23"/>
        </w:rPr>
        <w:t>-</w:t>
      </w:r>
      <w:r w:rsidR="00B15F7D" w:rsidRPr="00C312DE">
        <w:rPr>
          <w:rFonts w:ascii="Calibri Light" w:eastAsia="Times New Roman" w:hAnsi="Calibri Light" w:cs="Calibri Light"/>
          <w:sz w:val="23"/>
          <w:szCs w:val="23"/>
        </w:rPr>
        <w:t>C</w:t>
      </w:r>
      <w:r w:rsidR="007E71C7" w:rsidRPr="00C312DE">
        <w:rPr>
          <w:rFonts w:ascii="Calibri Light" w:eastAsia="Times New Roman" w:hAnsi="Calibri Light" w:cs="Calibri Light"/>
          <w:sz w:val="23"/>
          <w:szCs w:val="23"/>
        </w:rPr>
        <w:t>OVID</w:t>
      </w:r>
      <w:r w:rsidR="00391193" w:rsidRPr="00C312DE">
        <w:rPr>
          <w:rFonts w:ascii="Calibri Light" w:eastAsia="Times New Roman" w:hAnsi="Calibri Light" w:cs="Calibri Light"/>
          <w:sz w:val="23"/>
          <w:szCs w:val="23"/>
        </w:rPr>
        <w:t>.</w:t>
      </w:r>
      <w:r w:rsidR="00604DC5">
        <w:rPr>
          <w:rFonts w:ascii="Calibri Light" w:eastAsia="Times New Roman" w:hAnsi="Calibri Light" w:cs="Calibri Light"/>
          <w:sz w:val="23"/>
          <w:szCs w:val="23"/>
        </w:rPr>
        <w:t>”</w:t>
      </w:r>
      <w:r w:rsidR="00391193" w:rsidRPr="00C312DE">
        <w:rPr>
          <w:rFonts w:ascii="Calibri Light" w:eastAsia="Times New Roman" w:hAnsi="Calibri Light" w:cs="Calibri Light"/>
          <w:sz w:val="23"/>
          <w:szCs w:val="23"/>
        </w:rPr>
        <w:t xml:space="preserve"> The </w:t>
      </w:r>
      <w:r w:rsidR="00441DE5" w:rsidRPr="00C312DE">
        <w:rPr>
          <w:rFonts w:ascii="Calibri Light" w:eastAsia="Times New Roman" w:hAnsi="Calibri Light" w:cs="Calibri Light"/>
          <w:sz w:val="23"/>
          <w:szCs w:val="23"/>
        </w:rPr>
        <w:t xml:space="preserve">purpose of this guide </w:t>
      </w:r>
      <w:r w:rsidR="001C6F68" w:rsidRPr="00C312DE">
        <w:rPr>
          <w:rFonts w:ascii="Calibri Light" w:eastAsia="Times New Roman" w:hAnsi="Calibri Light" w:cs="Calibri Light"/>
          <w:sz w:val="23"/>
          <w:szCs w:val="23"/>
        </w:rPr>
        <w:t xml:space="preserve">is </w:t>
      </w:r>
      <w:r w:rsidR="00441DE5" w:rsidRPr="00C312DE">
        <w:rPr>
          <w:rFonts w:ascii="Calibri Light" w:eastAsia="Times New Roman" w:hAnsi="Calibri Light" w:cs="Calibri Light"/>
          <w:sz w:val="23"/>
          <w:szCs w:val="23"/>
        </w:rPr>
        <w:t xml:space="preserve">to adapt the </w:t>
      </w:r>
      <w:r w:rsidR="00EB5F7E" w:rsidRPr="00C312DE">
        <w:rPr>
          <w:rFonts w:ascii="Calibri Light" w:eastAsia="Times New Roman" w:hAnsi="Calibri Light" w:cs="Calibri Light"/>
          <w:sz w:val="23"/>
          <w:szCs w:val="23"/>
        </w:rPr>
        <w:t xml:space="preserve">CDC </w:t>
      </w:r>
      <w:r w:rsidR="00C312DE">
        <w:rPr>
          <w:rFonts w:ascii="Calibri Light" w:eastAsia="Times New Roman" w:hAnsi="Calibri Light" w:cs="Calibri Light"/>
          <w:sz w:val="23"/>
          <w:szCs w:val="23"/>
        </w:rPr>
        <w:t xml:space="preserve">clinical </w:t>
      </w:r>
      <w:r w:rsidR="00D168F2">
        <w:rPr>
          <w:rFonts w:ascii="Calibri Light" w:eastAsia="Times New Roman" w:hAnsi="Calibri Light" w:cs="Calibri Light"/>
          <w:sz w:val="23"/>
          <w:szCs w:val="23"/>
        </w:rPr>
        <w:t>guidance</w:t>
      </w:r>
      <w:r w:rsidR="00C312DE">
        <w:rPr>
          <w:rFonts w:ascii="Calibri Light" w:eastAsia="Times New Roman" w:hAnsi="Calibri Light" w:cs="Calibri Light"/>
          <w:sz w:val="23"/>
          <w:szCs w:val="23"/>
        </w:rPr>
        <w:t xml:space="preserve"> for health care providers</w:t>
      </w:r>
      <w:r w:rsidR="00441DE5" w:rsidRPr="00C312DE">
        <w:rPr>
          <w:rFonts w:ascii="Calibri Light" w:eastAsia="Times New Roman" w:hAnsi="Calibri Light" w:cs="Calibri Light"/>
          <w:sz w:val="23"/>
          <w:szCs w:val="23"/>
        </w:rPr>
        <w:t xml:space="preserve"> to </w:t>
      </w:r>
      <w:r w:rsidR="00C312DE">
        <w:rPr>
          <w:rFonts w:ascii="Calibri Light" w:eastAsia="Times New Roman" w:hAnsi="Calibri Light" w:cs="Calibri Light"/>
          <w:sz w:val="23"/>
          <w:szCs w:val="23"/>
        </w:rPr>
        <w:t xml:space="preserve">meet </w:t>
      </w:r>
      <w:r w:rsidR="00441DE5" w:rsidRPr="00C312DE">
        <w:rPr>
          <w:rFonts w:ascii="Calibri Light" w:eastAsia="Times New Roman" w:hAnsi="Calibri Light" w:cs="Calibri Light"/>
          <w:sz w:val="23"/>
          <w:szCs w:val="23"/>
        </w:rPr>
        <w:t>the unique needs and challenge</w:t>
      </w:r>
      <w:r w:rsidR="00D168F2">
        <w:rPr>
          <w:rFonts w:ascii="Calibri Light" w:eastAsia="Times New Roman" w:hAnsi="Calibri Light" w:cs="Calibri Light"/>
          <w:sz w:val="23"/>
          <w:szCs w:val="23"/>
        </w:rPr>
        <w:t xml:space="preserve">s that </w:t>
      </w:r>
      <w:r w:rsidR="00441DE5" w:rsidRPr="00C312DE">
        <w:rPr>
          <w:rFonts w:ascii="Calibri Light" w:eastAsia="Times New Roman" w:hAnsi="Calibri Light" w:cs="Calibri Light"/>
          <w:sz w:val="23"/>
          <w:szCs w:val="23"/>
        </w:rPr>
        <w:t>people experiencing homeless</w:t>
      </w:r>
      <w:r w:rsidR="00D8440B">
        <w:rPr>
          <w:rFonts w:ascii="Calibri Light" w:eastAsia="Times New Roman" w:hAnsi="Calibri Light" w:cs="Calibri Light"/>
          <w:sz w:val="23"/>
          <w:szCs w:val="23"/>
        </w:rPr>
        <w:t>ness</w:t>
      </w:r>
      <w:r w:rsidR="00D168F2">
        <w:rPr>
          <w:rFonts w:ascii="Calibri Light" w:eastAsia="Times New Roman" w:hAnsi="Calibri Light" w:cs="Calibri Light"/>
          <w:sz w:val="23"/>
          <w:szCs w:val="23"/>
        </w:rPr>
        <w:t xml:space="preserve"> m</w:t>
      </w:r>
      <w:r w:rsidR="00A45EB3">
        <w:rPr>
          <w:rFonts w:ascii="Calibri Light" w:eastAsia="Times New Roman" w:hAnsi="Calibri Light" w:cs="Calibri Light"/>
          <w:sz w:val="23"/>
          <w:szCs w:val="23"/>
        </w:rPr>
        <w:t>ay</w:t>
      </w:r>
      <w:r w:rsidR="00D168F2">
        <w:rPr>
          <w:rFonts w:ascii="Calibri Light" w:eastAsia="Times New Roman" w:hAnsi="Calibri Light" w:cs="Calibri Light"/>
          <w:sz w:val="23"/>
          <w:szCs w:val="23"/>
        </w:rPr>
        <w:t xml:space="preserve"> face </w:t>
      </w:r>
      <w:r w:rsidR="00A45EB3">
        <w:rPr>
          <w:rFonts w:ascii="Calibri Light" w:eastAsia="Times New Roman" w:hAnsi="Calibri Light" w:cs="Calibri Light"/>
          <w:sz w:val="23"/>
          <w:szCs w:val="23"/>
        </w:rPr>
        <w:t xml:space="preserve">while </w:t>
      </w:r>
      <w:r w:rsidR="00D168F2">
        <w:rPr>
          <w:rFonts w:ascii="Calibri Light" w:eastAsia="Times New Roman" w:hAnsi="Calibri Light" w:cs="Calibri Light"/>
          <w:sz w:val="23"/>
          <w:szCs w:val="23"/>
        </w:rPr>
        <w:t>managing Long</w:t>
      </w:r>
      <w:r w:rsidR="00604DC5">
        <w:rPr>
          <w:rFonts w:ascii="Calibri Light" w:eastAsia="Times New Roman" w:hAnsi="Calibri Light" w:cs="Calibri Light"/>
          <w:sz w:val="23"/>
          <w:szCs w:val="23"/>
        </w:rPr>
        <w:t>-</w:t>
      </w:r>
      <w:r w:rsidR="00D168F2">
        <w:rPr>
          <w:rFonts w:ascii="Calibri Light" w:eastAsia="Times New Roman" w:hAnsi="Calibri Light" w:cs="Calibri Light"/>
          <w:sz w:val="23"/>
          <w:szCs w:val="23"/>
        </w:rPr>
        <w:t>COVID.</w:t>
      </w:r>
    </w:p>
    <w:p w14:paraId="4AFC1F33" w14:textId="19E81BD8" w:rsidR="000C3F66" w:rsidRPr="00C312DE" w:rsidRDefault="000C3F66" w:rsidP="004958C4">
      <w:pPr>
        <w:spacing w:before="100" w:beforeAutospacing="1" w:after="100" w:afterAutospacing="1"/>
        <w:rPr>
          <w:rFonts w:ascii="Century Gothic" w:eastAsia="Times New Roman" w:hAnsi="Century Gothic" w:cs="Times New Roman"/>
          <w:b/>
          <w:bCs/>
          <w:color w:val="01594B"/>
        </w:rPr>
      </w:pPr>
      <w:r w:rsidRPr="00C312DE">
        <w:rPr>
          <w:rFonts w:ascii="Century Gothic" w:eastAsia="Times New Roman" w:hAnsi="Century Gothic" w:cs="Times New Roman"/>
          <w:b/>
          <w:bCs/>
          <w:color w:val="01594B"/>
        </w:rPr>
        <w:t>What is Long</w:t>
      </w:r>
      <w:r w:rsidR="00604DC5">
        <w:rPr>
          <w:rFonts w:ascii="Century Gothic" w:eastAsia="Times New Roman" w:hAnsi="Century Gothic" w:cs="Times New Roman"/>
          <w:b/>
          <w:bCs/>
          <w:color w:val="01594B"/>
        </w:rPr>
        <w:t>-</w:t>
      </w:r>
      <w:r w:rsidRPr="00C312DE">
        <w:rPr>
          <w:rFonts w:ascii="Century Gothic" w:eastAsia="Times New Roman" w:hAnsi="Century Gothic" w:cs="Times New Roman"/>
          <w:b/>
          <w:bCs/>
          <w:color w:val="01594B"/>
        </w:rPr>
        <w:t>COVID?</w:t>
      </w:r>
    </w:p>
    <w:p w14:paraId="21BD38CC" w14:textId="0B8AC2B6" w:rsidR="000C3F66" w:rsidRPr="00C312DE" w:rsidRDefault="004958C4" w:rsidP="4F446E66">
      <w:pPr>
        <w:spacing w:before="100" w:beforeAutospacing="1" w:after="100" w:afterAutospacing="1"/>
        <w:rPr>
          <w:rFonts w:asciiTheme="majorHAnsi" w:eastAsia="Times New Roman" w:hAnsiTheme="majorHAnsi" w:cstheme="majorHAnsi"/>
          <w:sz w:val="23"/>
          <w:szCs w:val="23"/>
        </w:rPr>
      </w:pPr>
      <w:r w:rsidRPr="00C312DE">
        <w:rPr>
          <w:rFonts w:asciiTheme="majorHAnsi" w:eastAsia="Times New Roman" w:hAnsiTheme="majorHAnsi" w:cstheme="majorHAnsi"/>
          <w:sz w:val="23"/>
          <w:szCs w:val="23"/>
        </w:rPr>
        <w:t>Long</w:t>
      </w:r>
      <w:r w:rsidR="00604DC5">
        <w:rPr>
          <w:rFonts w:asciiTheme="majorHAnsi" w:eastAsia="Times New Roman" w:hAnsiTheme="majorHAnsi" w:cstheme="majorHAnsi"/>
          <w:sz w:val="23"/>
          <w:szCs w:val="23"/>
        </w:rPr>
        <w:t>-</w:t>
      </w:r>
      <w:r w:rsidRPr="00C312DE">
        <w:rPr>
          <w:rFonts w:asciiTheme="majorHAnsi" w:eastAsia="Times New Roman" w:hAnsiTheme="majorHAnsi" w:cstheme="majorHAnsi"/>
          <w:sz w:val="23"/>
          <w:szCs w:val="23"/>
        </w:rPr>
        <w:t xml:space="preserve">COVID is the continual, recurrent, or new </w:t>
      </w:r>
      <w:r w:rsidR="00850EE0">
        <w:rPr>
          <w:rFonts w:asciiTheme="majorHAnsi" w:eastAsia="Times New Roman" w:hAnsiTheme="majorHAnsi" w:cstheme="majorHAnsi"/>
          <w:sz w:val="23"/>
          <w:szCs w:val="23"/>
        </w:rPr>
        <w:t xml:space="preserve">presence of </w:t>
      </w:r>
      <w:r w:rsidRPr="00C312DE">
        <w:rPr>
          <w:rFonts w:asciiTheme="majorHAnsi" w:eastAsia="Times New Roman" w:hAnsiTheme="majorHAnsi" w:cstheme="majorHAnsi"/>
          <w:sz w:val="23"/>
          <w:szCs w:val="23"/>
        </w:rPr>
        <w:t>physical and mental health symptoms four or more weeks after infection</w:t>
      </w:r>
      <w:r w:rsidR="00604DC5">
        <w:rPr>
          <w:rFonts w:asciiTheme="majorHAnsi" w:eastAsia="Times New Roman" w:hAnsiTheme="majorHAnsi" w:cstheme="majorHAnsi"/>
          <w:sz w:val="23"/>
          <w:szCs w:val="23"/>
        </w:rPr>
        <w:t>.</w:t>
      </w:r>
      <w:bookmarkStart w:id="0" w:name="_Ref84923683"/>
      <w:r w:rsidRPr="00C312DE">
        <w:rPr>
          <w:rStyle w:val="FootnoteReference"/>
          <w:rFonts w:asciiTheme="majorHAnsi" w:eastAsia="Times New Roman" w:hAnsiTheme="majorHAnsi" w:cstheme="majorHAnsi"/>
          <w:sz w:val="23"/>
          <w:szCs w:val="23"/>
        </w:rPr>
        <w:footnoteReference w:id="1"/>
      </w:r>
      <w:bookmarkEnd w:id="0"/>
      <w:r w:rsidRPr="00C312DE">
        <w:rPr>
          <w:rFonts w:asciiTheme="majorHAnsi" w:eastAsia="Times New Roman" w:hAnsiTheme="majorHAnsi" w:cstheme="majorHAnsi"/>
          <w:sz w:val="23"/>
          <w:szCs w:val="23"/>
        </w:rPr>
        <w:t xml:space="preserve"> These symptoms can occur regardless of age, gender, or severity of original symptoms and includes people who were asymptomatic when they were COVID</w:t>
      </w:r>
      <w:r w:rsidR="00604DC5">
        <w:rPr>
          <w:rFonts w:asciiTheme="majorHAnsi" w:eastAsia="Times New Roman" w:hAnsiTheme="majorHAnsi" w:cstheme="majorHAnsi"/>
          <w:sz w:val="23"/>
          <w:szCs w:val="23"/>
        </w:rPr>
        <w:t>-</w:t>
      </w:r>
      <w:r w:rsidR="005311D6" w:rsidRPr="00C312DE">
        <w:rPr>
          <w:rFonts w:asciiTheme="majorHAnsi" w:eastAsia="Times New Roman" w:hAnsiTheme="majorHAnsi" w:cstheme="majorHAnsi"/>
          <w:sz w:val="23"/>
          <w:szCs w:val="23"/>
        </w:rPr>
        <w:t>positive</w:t>
      </w:r>
      <w:r w:rsidR="00F52B51">
        <w:rPr>
          <w:rFonts w:asciiTheme="majorHAnsi" w:eastAsia="Times New Roman" w:hAnsiTheme="majorHAnsi" w:cstheme="majorHAnsi"/>
          <w:sz w:val="23"/>
          <w:szCs w:val="23"/>
        </w:rPr>
        <w:t>.</w:t>
      </w:r>
      <w:r w:rsidR="004C72E8">
        <w:rPr>
          <w:rFonts w:asciiTheme="majorHAnsi" w:eastAsia="Times New Roman" w:hAnsiTheme="majorHAnsi" w:cstheme="majorHAnsi"/>
          <w:sz w:val="23"/>
          <w:szCs w:val="23"/>
        </w:rPr>
        <w:t xml:space="preserve"> The understanding of what causes Long</w:t>
      </w:r>
      <w:r w:rsidR="00850EE0">
        <w:rPr>
          <w:rFonts w:asciiTheme="majorHAnsi" w:eastAsia="Times New Roman" w:hAnsiTheme="majorHAnsi" w:cstheme="majorHAnsi"/>
          <w:sz w:val="23"/>
          <w:szCs w:val="23"/>
        </w:rPr>
        <w:t>-</w:t>
      </w:r>
      <w:r w:rsidR="004C72E8">
        <w:rPr>
          <w:rFonts w:asciiTheme="majorHAnsi" w:eastAsia="Times New Roman" w:hAnsiTheme="majorHAnsi" w:cstheme="majorHAnsi"/>
          <w:sz w:val="23"/>
          <w:szCs w:val="23"/>
        </w:rPr>
        <w:t>COVID and optimal treatment for Long</w:t>
      </w:r>
      <w:r w:rsidR="00850EE0">
        <w:rPr>
          <w:rFonts w:asciiTheme="majorHAnsi" w:eastAsia="Times New Roman" w:hAnsiTheme="majorHAnsi" w:cstheme="majorHAnsi"/>
          <w:sz w:val="23"/>
          <w:szCs w:val="23"/>
        </w:rPr>
        <w:t>-</w:t>
      </w:r>
      <w:r w:rsidR="004C72E8">
        <w:rPr>
          <w:rFonts w:asciiTheme="majorHAnsi" w:eastAsia="Times New Roman" w:hAnsiTheme="majorHAnsi" w:cstheme="majorHAnsi"/>
          <w:sz w:val="23"/>
          <w:szCs w:val="23"/>
        </w:rPr>
        <w:t>COVID are evolving.</w:t>
      </w:r>
    </w:p>
    <w:p w14:paraId="6DFDD23F" w14:textId="19EF27B4" w:rsidR="00DB61A4" w:rsidRPr="00C312DE" w:rsidRDefault="005A3AA0" w:rsidP="00DB61A4">
      <w:pPr>
        <w:spacing w:before="100" w:beforeAutospacing="1" w:after="100" w:afterAutospacing="1"/>
        <w:rPr>
          <w:rFonts w:ascii="Century Gothic" w:eastAsia="Times New Roman" w:hAnsi="Century Gothic" w:cs="Times New Roman"/>
          <w:b/>
          <w:bCs/>
          <w:color w:val="01594B"/>
        </w:rPr>
      </w:pPr>
      <w:r w:rsidRPr="00C312DE">
        <w:rPr>
          <w:rFonts w:ascii="Century Gothic" w:eastAsia="Times New Roman" w:hAnsi="Century Gothic" w:cs="Times New Roman"/>
          <w:b/>
          <w:bCs/>
          <w:color w:val="01594B"/>
        </w:rPr>
        <w:t>Typical Long</w:t>
      </w:r>
      <w:r w:rsidR="00604DC5">
        <w:rPr>
          <w:rFonts w:ascii="Century Gothic" w:eastAsia="Times New Roman" w:hAnsi="Century Gothic" w:cs="Times New Roman"/>
          <w:b/>
          <w:bCs/>
          <w:color w:val="01594B"/>
        </w:rPr>
        <w:t>-</w:t>
      </w:r>
      <w:r w:rsidRPr="00C312DE">
        <w:rPr>
          <w:rFonts w:ascii="Century Gothic" w:eastAsia="Times New Roman" w:hAnsi="Century Gothic" w:cs="Times New Roman"/>
          <w:b/>
          <w:bCs/>
          <w:color w:val="01594B"/>
        </w:rPr>
        <w:t>C</w:t>
      </w:r>
      <w:r w:rsidR="000C3F66" w:rsidRPr="00C312DE">
        <w:rPr>
          <w:rFonts w:ascii="Century Gothic" w:eastAsia="Times New Roman" w:hAnsi="Century Gothic" w:cs="Times New Roman"/>
          <w:b/>
          <w:bCs/>
          <w:color w:val="01594B"/>
        </w:rPr>
        <w:t>OVID</w:t>
      </w:r>
      <w:r w:rsidRPr="00C312DE">
        <w:rPr>
          <w:rFonts w:ascii="Century Gothic" w:eastAsia="Times New Roman" w:hAnsi="Century Gothic" w:cs="Times New Roman"/>
          <w:b/>
          <w:bCs/>
          <w:color w:val="01594B"/>
        </w:rPr>
        <w:t xml:space="preserve"> Symptoms</w:t>
      </w:r>
    </w:p>
    <w:tbl>
      <w:tblPr>
        <w:tblStyle w:val="TableGrid"/>
        <w:tblW w:w="0" w:type="auto"/>
        <w:tblInd w:w="18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5"/>
        <w:gridCol w:w="3165"/>
      </w:tblGrid>
      <w:tr w:rsidR="00DB61A4" w14:paraId="74DFF54A" w14:textId="77777777" w:rsidTr="00C312DE">
        <w:trPr>
          <w:trHeight w:val="283"/>
        </w:trPr>
        <w:tc>
          <w:tcPr>
            <w:tcW w:w="3165" w:type="dxa"/>
          </w:tcPr>
          <w:p w14:paraId="52B02223" w14:textId="379F7FDC" w:rsidR="00DB61A4" w:rsidRPr="00C312DE" w:rsidRDefault="006412C8" w:rsidP="00C312DE">
            <w:pPr>
              <w:pStyle w:val="ListParagraph"/>
              <w:numPr>
                <w:ilvl w:val="0"/>
                <w:numId w:val="7"/>
              </w:numPr>
              <w:spacing w:after="0" w:line="240" w:lineRule="auto"/>
              <w:rPr>
                <w:rFonts w:asciiTheme="majorHAnsi" w:eastAsia="Times New Roman" w:hAnsiTheme="majorHAnsi" w:cstheme="majorHAnsi"/>
                <w:sz w:val="23"/>
                <w:szCs w:val="23"/>
              </w:rPr>
            </w:pPr>
            <w:r w:rsidRPr="00C312DE">
              <w:rPr>
                <w:rFonts w:asciiTheme="majorHAnsi" w:eastAsia="Times New Roman" w:hAnsiTheme="majorHAnsi" w:cstheme="majorHAnsi"/>
                <w:sz w:val="23"/>
                <w:szCs w:val="23"/>
              </w:rPr>
              <w:t>Shortness of breath</w:t>
            </w:r>
          </w:p>
        </w:tc>
        <w:tc>
          <w:tcPr>
            <w:tcW w:w="3165" w:type="dxa"/>
          </w:tcPr>
          <w:p w14:paraId="4A1A7AA5" w14:textId="33403583" w:rsidR="00DB61A4" w:rsidRPr="00C312DE" w:rsidRDefault="00BD55EB" w:rsidP="00C312DE">
            <w:pPr>
              <w:pStyle w:val="ListParagraph"/>
              <w:numPr>
                <w:ilvl w:val="0"/>
                <w:numId w:val="7"/>
              </w:numPr>
              <w:spacing w:after="0" w:line="240" w:lineRule="auto"/>
              <w:rPr>
                <w:rFonts w:asciiTheme="majorHAnsi" w:eastAsia="Times New Roman" w:hAnsiTheme="majorHAnsi" w:cstheme="majorHAnsi"/>
                <w:sz w:val="23"/>
                <w:szCs w:val="23"/>
              </w:rPr>
            </w:pPr>
            <w:r w:rsidRPr="00C312DE">
              <w:rPr>
                <w:rFonts w:asciiTheme="majorHAnsi" w:eastAsia="Times New Roman" w:hAnsiTheme="majorHAnsi" w:cstheme="majorHAnsi"/>
                <w:sz w:val="23"/>
                <w:szCs w:val="23"/>
              </w:rPr>
              <w:t xml:space="preserve">Fast-beating heart </w:t>
            </w:r>
          </w:p>
        </w:tc>
      </w:tr>
      <w:tr w:rsidR="00DB61A4" w14:paraId="78A0B259" w14:textId="77777777" w:rsidTr="00C312DE">
        <w:trPr>
          <w:trHeight w:val="293"/>
        </w:trPr>
        <w:tc>
          <w:tcPr>
            <w:tcW w:w="3165" w:type="dxa"/>
          </w:tcPr>
          <w:p w14:paraId="4ED2008F" w14:textId="09D76016" w:rsidR="00DB61A4" w:rsidRPr="00C312DE" w:rsidRDefault="006412C8" w:rsidP="00C312DE">
            <w:pPr>
              <w:pStyle w:val="ListParagraph"/>
              <w:numPr>
                <w:ilvl w:val="0"/>
                <w:numId w:val="7"/>
              </w:numPr>
              <w:spacing w:after="0" w:line="240" w:lineRule="auto"/>
              <w:rPr>
                <w:rFonts w:asciiTheme="majorHAnsi" w:eastAsia="Times New Roman" w:hAnsiTheme="majorHAnsi" w:cstheme="majorHAnsi"/>
                <w:sz w:val="23"/>
                <w:szCs w:val="23"/>
              </w:rPr>
            </w:pPr>
            <w:r w:rsidRPr="00C312DE">
              <w:rPr>
                <w:rFonts w:asciiTheme="majorHAnsi" w:eastAsia="Times New Roman" w:hAnsiTheme="majorHAnsi" w:cstheme="majorHAnsi"/>
                <w:sz w:val="23"/>
                <w:szCs w:val="23"/>
              </w:rPr>
              <w:t>Fatigue</w:t>
            </w:r>
          </w:p>
        </w:tc>
        <w:tc>
          <w:tcPr>
            <w:tcW w:w="3165" w:type="dxa"/>
          </w:tcPr>
          <w:p w14:paraId="696C3E58" w14:textId="45F8A3F5" w:rsidR="00DB61A4" w:rsidRPr="00C312DE" w:rsidRDefault="00BD55EB" w:rsidP="00C312DE">
            <w:pPr>
              <w:pStyle w:val="ListParagraph"/>
              <w:numPr>
                <w:ilvl w:val="0"/>
                <w:numId w:val="7"/>
              </w:numPr>
              <w:spacing w:after="0" w:line="240" w:lineRule="auto"/>
              <w:rPr>
                <w:rFonts w:asciiTheme="majorHAnsi" w:eastAsia="Times New Roman" w:hAnsiTheme="majorHAnsi" w:cstheme="majorHAnsi"/>
                <w:sz w:val="23"/>
                <w:szCs w:val="23"/>
              </w:rPr>
            </w:pPr>
            <w:r w:rsidRPr="00C312DE">
              <w:rPr>
                <w:rFonts w:asciiTheme="majorHAnsi" w:eastAsia="Times New Roman" w:hAnsiTheme="majorHAnsi" w:cstheme="majorHAnsi"/>
                <w:sz w:val="23"/>
                <w:szCs w:val="23"/>
              </w:rPr>
              <w:t>Joint or muscle pain</w:t>
            </w:r>
          </w:p>
        </w:tc>
      </w:tr>
      <w:tr w:rsidR="00DB61A4" w14:paraId="4DB60FFD" w14:textId="77777777" w:rsidTr="00C312DE">
        <w:trPr>
          <w:trHeight w:val="283"/>
        </w:trPr>
        <w:tc>
          <w:tcPr>
            <w:tcW w:w="3165" w:type="dxa"/>
          </w:tcPr>
          <w:p w14:paraId="47E6EE40" w14:textId="6FD07311" w:rsidR="00DB61A4" w:rsidRPr="00C312DE" w:rsidRDefault="00BD55EB" w:rsidP="00C312DE">
            <w:pPr>
              <w:pStyle w:val="ListParagraph"/>
              <w:numPr>
                <w:ilvl w:val="0"/>
                <w:numId w:val="7"/>
              </w:numPr>
              <w:spacing w:after="0" w:line="240" w:lineRule="auto"/>
              <w:rPr>
                <w:rFonts w:asciiTheme="majorHAnsi" w:eastAsia="Times New Roman" w:hAnsiTheme="majorHAnsi" w:cstheme="majorHAnsi"/>
                <w:sz w:val="23"/>
                <w:szCs w:val="23"/>
              </w:rPr>
            </w:pPr>
            <w:r w:rsidRPr="00C312DE">
              <w:rPr>
                <w:rFonts w:asciiTheme="majorHAnsi" w:eastAsia="Times New Roman" w:hAnsiTheme="majorHAnsi" w:cstheme="majorHAnsi"/>
                <w:sz w:val="23"/>
                <w:szCs w:val="23"/>
              </w:rPr>
              <w:t>Difficulty concentrating</w:t>
            </w:r>
          </w:p>
        </w:tc>
        <w:tc>
          <w:tcPr>
            <w:tcW w:w="3165" w:type="dxa"/>
          </w:tcPr>
          <w:p w14:paraId="014EF913" w14:textId="1F62877A" w:rsidR="00DB61A4" w:rsidRPr="00C312DE" w:rsidRDefault="00BD55EB" w:rsidP="00C312DE">
            <w:pPr>
              <w:pStyle w:val="ListParagraph"/>
              <w:numPr>
                <w:ilvl w:val="0"/>
                <w:numId w:val="7"/>
              </w:numPr>
              <w:spacing w:after="0" w:line="240" w:lineRule="auto"/>
              <w:rPr>
                <w:rFonts w:asciiTheme="majorHAnsi" w:eastAsia="Times New Roman" w:hAnsiTheme="majorHAnsi" w:cstheme="majorHAnsi"/>
                <w:sz w:val="23"/>
                <w:szCs w:val="23"/>
              </w:rPr>
            </w:pPr>
            <w:r w:rsidRPr="00C312DE">
              <w:rPr>
                <w:rFonts w:asciiTheme="majorHAnsi" w:eastAsia="Times New Roman" w:hAnsiTheme="majorHAnsi" w:cstheme="majorHAnsi"/>
                <w:sz w:val="23"/>
                <w:szCs w:val="23"/>
              </w:rPr>
              <w:t>Diarrhea</w:t>
            </w:r>
          </w:p>
        </w:tc>
      </w:tr>
      <w:tr w:rsidR="00DB61A4" w14:paraId="3F9AEE3F" w14:textId="77777777" w:rsidTr="00C312DE">
        <w:trPr>
          <w:trHeight w:val="293"/>
        </w:trPr>
        <w:tc>
          <w:tcPr>
            <w:tcW w:w="3165" w:type="dxa"/>
          </w:tcPr>
          <w:p w14:paraId="5C903EB1" w14:textId="3D1C07E0" w:rsidR="00DB61A4" w:rsidRPr="00C312DE" w:rsidRDefault="00BD55EB" w:rsidP="00C312DE">
            <w:pPr>
              <w:pStyle w:val="ListParagraph"/>
              <w:numPr>
                <w:ilvl w:val="0"/>
                <w:numId w:val="7"/>
              </w:numPr>
              <w:spacing w:after="0" w:line="240" w:lineRule="auto"/>
              <w:rPr>
                <w:rFonts w:asciiTheme="majorHAnsi" w:eastAsia="Times New Roman" w:hAnsiTheme="majorHAnsi" w:cstheme="majorHAnsi"/>
                <w:sz w:val="23"/>
                <w:szCs w:val="23"/>
              </w:rPr>
            </w:pPr>
            <w:r w:rsidRPr="00C312DE">
              <w:rPr>
                <w:rFonts w:asciiTheme="majorHAnsi" w:eastAsia="Times New Roman" w:hAnsiTheme="majorHAnsi" w:cstheme="majorHAnsi"/>
                <w:sz w:val="23"/>
                <w:szCs w:val="23"/>
              </w:rPr>
              <w:t>Cough</w:t>
            </w:r>
          </w:p>
        </w:tc>
        <w:tc>
          <w:tcPr>
            <w:tcW w:w="3165" w:type="dxa"/>
          </w:tcPr>
          <w:p w14:paraId="24C1F32E" w14:textId="409591D6" w:rsidR="00DB61A4" w:rsidRPr="00C312DE" w:rsidRDefault="00BD55EB" w:rsidP="00C312DE">
            <w:pPr>
              <w:pStyle w:val="ListParagraph"/>
              <w:numPr>
                <w:ilvl w:val="0"/>
                <w:numId w:val="7"/>
              </w:numPr>
              <w:spacing w:after="0" w:line="240" w:lineRule="auto"/>
              <w:rPr>
                <w:rFonts w:asciiTheme="majorHAnsi" w:eastAsia="Times New Roman" w:hAnsiTheme="majorHAnsi" w:cstheme="majorHAnsi"/>
                <w:sz w:val="23"/>
                <w:szCs w:val="23"/>
              </w:rPr>
            </w:pPr>
            <w:r w:rsidRPr="00C312DE">
              <w:rPr>
                <w:rFonts w:asciiTheme="majorHAnsi" w:eastAsia="Times New Roman" w:hAnsiTheme="majorHAnsi" w:cstheme="majorHAnsi"/>
                <w:sz w:val="23"/>
                <w:szCs w:val="23"/>
              </w:rPr>
              <w:t>Sleep problems</w:t>
            </w:r>
          </w:p>
        </w:tc>
      </w:tr>
      <w:tr w:rsidR="00DB61A4" w14:paraId="5E0C104B" w14:textId="77777777" w:rsidTr="00C312DE">
        <w:trPr>
          <w:trHeight w:val="283"/>
        </w:trPr>
        <w:tc>
          <w:tcPr>
            <w:tcW w:w="3165" w:type="dxa"/>
          </w:tcPr>
          <w:p w14:paraId="35B2CC1E" w14:textId="1ACC4CE7" w:rsidR="00DB61A4" w:rsidRPr="00C312DE" w:rsidRDefault="00BD55EB" w:rsidP="00C312DE">
            <w:pPr>
              <w:pStyle w:val="ListParagraph"/>
              <w:numPr>
                <w:ilvl w:val="0"/>
                <w:numId w:val="7"/>
              </w:numPr>
              <w:spacing w:after="0" w:line="240" w:lineRule="auto"/>
              <w:rPr>
                <w:rFonts w:asciiTheme="majorHAnsi" w:eastAsia="Times New Roman" w:hAnsiTheme="majorHAnsi" w:cstheme="majorHAnsi"/>
                <w:sz w:val="23"/>
                <w:szCs w:val="23"/>
              </w:rPr>
            </w:pPr>
            <w:r w:rsidRPr="00C312DE">
              <w:rPr>
                <w:rFonts w:asciiTheme="majorHAnsi" w:eastAsia="Times New Roman" w:hAnsiTheme="majorHAnsi" w:cstheme="majorHAnsi"/>
                <w:sz w:val="23"/>
                <w:szCs w:val="23"/>
              </w:rPr>
              <w:t>Chest or stomach pain</w:t>
            </w:r>
          </w:p>
        </w:tc>
        <w:tc>
          <w:tcPr>
            <w:tcW w:w="3165" w:type="dxa"/>
          </w:tcPr>
          <w:p w14:paraId="274D5D96" w14:textId="0CED2519" w:rsidR="00DB61A4" w:rsidRPr="00C312DE" w:rsidRDefault="00BD55EB" w:rsidP="00C312DE">
            <w:pPr>
              <w:pStyle w:val="ListParagraph"/>
              <w:numPr>
                <w:ilvl w:val="0"/>
                <w:numId w:val="7"/>
              </w:numPr>
              <w:spacing w:after="0" w:line="240" w:lineRule="auto"/>
              <w:rPr>
                <w:rFonts w:asciiTheme="majorHAnsi" w:eastAsia="Times New Roman" w:hAnsiTheme="majorHAnsi" w:cstheme="majorHAnsi"/>
                <w:sz w:val="23"/>
                <w:szCs w:val="23"/>
              </w:rPr>
            </w:pPr>
            <w:r w:rsidRPr="00C312DE">
              <w:rPr>
                <w:rFonts w:asciiTheme="majorHAnsi" w:eastAsia="Times New Roman" w:hAnsiTheme="majorHAnsi" w:cstheme="majorHAnsi"/>
                <w:sz w:val="23"/>
                <w:szCs w:val="23"/>
              </w:rPr>
              <w:t>Fever</w:t>
            </w:r>
          </w:p>
        </w:tc>
      </w:tr>
      <w:tr w:rsidR="00DB61A4" w14:paraId="0E84B2FB" w14:textId="77777777" w:rsidTr="00C312DE">
        <w:trPr>
          <w:trHeight w:val="293"/>
        </w:trPr>
        <w:tc>
          <w:tcPr>
            <w:tcW w:w="3165" w:type="dxa"/>
          </w:tcPr>
          <w:p w14:paraId="0FD9EE0F" w14:textId="2EADF69E" w:rsidR="00DB61A4" w:rsidRPr="00C312DE" w:rsidRDefault="00BD55EB" w:rsidP="00C312DE">
            <w:pPr>
              <w:pStyle w:val="ListParagraph"/>
              <w:numPr>
                <w:ilvl w:val="0"/>
                <w:numId w:val="7"/>
              </w:numPr>
              <w:spacing w:after="0" w:line="240" w:lineRule="auto"/>
              <w:rPr>
                <w:rFonts w:asciiTheme="majorHAnsi" w:eastAsia="Times New Roman" w:hAnsiTheme="majorHAnsi" w:cstheme="majorHAnsi"/>
                <w:sz w:val="23"/>
                <w:szCs w:val="23"/>
              </w:rPr>
            </w:pPr>
            <w:r w:rsidRPr="00C312DE">
              <w:rPr>
                <w:rFonts w:asciiTheme="majorHAnsi" w:eastAsia="Times New Roman" w:hAnsiTheme="majorHAnsi" w:cstheme="majorHAnsi"/>
                <w:sz w:val="23"/>
                <w:szCs w:val="23"/>
              </w:rPr>
              <w:t>Headache</w:t>
            </w:r>
          </w:p>
        </w:tc>
        <w:tc>
          <w:tcPr>
            <w:tcW w:w="3165" w:type="dxa"/>
          </w:tcPr>
          <w:p w14:paraId="368E5CA3" w14:textId="55DDB8D3" w:rsidR="00DB61A4" w:rsidRPr="00C312DE" w:rsidRDefault="00BD55EB" w:rsidP="00C312DE">
            <w:pPr>
              <w:pStyle w:val="ListParagraph"/>
              <w:numPr>
                <w:ilvl w:val="0"/>
                <w:numId w:val="7"/>
              </w:numPr>
              <w:spacing w:after="0" w:line="240" w:lineRule="auto"/>
              <w:rPr>
                <w:rFonts w:asciiTheme="majorHAnsi" w:eastAsia="Times New Roman" w:hAnsiTheme="majorHAnsi" w:cstheme="majorHAnsi"/>
                <w:sz w:val="23"/>
                <w:szCs w:val="23"/>
              </w:rPr>
            </w:pPr>
            <w:r w:rsidRPr="00C312DE">
              <w:rPr>
                <w:rFonts w:asciiTheme="majorHAnsi" w:eastAsia="Times New Roman" w:hAnsiTheme="majorHAnsi" w:cstheme="majorHAnsi"/>
                <w:sz w:val="23"/>
                <w:szCs w:val="23"/>
              </w:rPr>
              <w:t>Dizziness</w:t>
            </w:r>
          </w:p>
        </w:tc>
      </w:tr>
      <w:tr w:rsidR="00BD55EB" w14:paraId="71B1373B" w14:textId="77777777" w:rsidTr="00C312DE">
        <w:trPr>
          <w:trHeight w:val="283"/>
        </w:trPr>
        <w:tc>
          <w:tcPr>
            <w:tcW w:w="3165" w:type="dxa"/>
          </w:tcPr>
          <w:p w14:paraId="3A147574" w14:textId="6E68F08E" w:rsidR="00BD55EB" w:rsidRPr="00C312DE" w:rsidRDefault="00BD55EB" w:rsidP="00C312DE">
            <w:pPr>
              <w:pStyle w:val="ListParagraph"/>
              <w:numPr>
                <w:ilvl w:val="0"/>
                <w:numId w:val="7"/>
              </w:numPr>
              <w:spacing w:after="0" w:line="240" w:lineRule="auto"/>
              <w:rPr>
                <w:rFonts w:asciiTheme="majorHAnsi" w:eastAsia="Times New Roman" w:hAnsiTheme="majorHAnsi" w:cstheme="majorHAnsi"/>
                <w:sz w:val="23"/>
                <w:szCs w:val="23"/>
              </w:rPr>
            </w:pPr>
            <w:r w:rsidRPr="00C312DE">
              <w:rPr>
                <w:rFonts w:asciiTheme="majorHAnsi" w:eastAsia="Times New Roman" w:hAnsiTheme="majorHAnsi" w:cstheme="majorHAnsi"/>
                <w:sz w:val="23"/>
                <w:szCs w:val="23"/>
              </w:rPr>
              <w:t>Mood changes</w:t>
            </w:r>
          </w:p>
        </w:tc>
        <w:tc>
          <w:tcPr>
            <w:tcW w:w="3165" w:type="dxa"/>
          </w:tcPr>
          <w:p w14:paraId="3DEABF14" w14:textId="1CB08A5B" w:rsidR="00BD55EB" w:rsidRPr="00C312DE" w:rsidRDefault="00BD55EB" w:rsidP="00C312DE">
            <w:pPr>
              <w:pStyle w:val="ListParagraph"/>
              <w:numPr>
                <w:ilvl w:val="0"/>
                <w:numId w:val="7"/>
              </w:numPr>
              <w:spacing w:after="0" w:line="240" w:lineRule="auto"/>
              <w:rPr>
                <w:rFonts w:asciiTheme="majorHAnsi" w:eastAsia="Times New Roman" w:hAnsiTheme="majorHAnsi" w:cstheme="majorHAnsi"/>
                <w:sz w:val="23"/>
                <w:szCs w:val="23"/>
              </w:rPr>
            </w:pPr>
            <w:r w:rsidRPr="00C312DE">
              <w:rPr>
                <w:rFonts w:asciiTheme="majorHAnsi" w:eastAsia="Times New Roman" w:hAnsiTheme="majorHAnsi" w:cstheme="majorHAnsi"/>
                <w:sz w:val="23"/>
                <w:szCs w:val="23"/>
              </w:rPr>
              <w:t xml:space="preserve">Change </w:t>
            </w:r>
            <w:r w:rsidR="004A3C4E" w:rsidRPr="00C312DE">
              <w:rPr>
                <w:rFonts w:asciiTheme="majorHAnsi" w:eastAsia="Times New Roman" w:hAnsiTheme="majorHAnsi" w:cstheme="majorHAnsi"/>
                <w:sz w:val="23"/>
                <w:szCs w:val="23"/>
              </w:rPr>
              <w:t>in smell or taste</w:t>
            </w:r>
          </w:p>
        </w:tc>
      </w:tr>
    </w:tbl>
    <w:p w14:paraId="0300F0BE" w14:textId="41117A21" w:rsidR="00C805A2" w:rsidRDefault="00C805A2" w:rsidP="29A5EAFA">
      <w:pPr>
        <w:spacing w:before="100" w:beforeAutospacing="1" w:after="100" w:afterAutospacing="1"/>
        <w:rPr>
          <w:rFonts w:ascii="Century Gothic" w:hAnsi="Century Gothic"/>
          <w:b/>
          <w:bCs/>
          <w:color w:val="01594B"/>
        </w:rPr>
      </w:pPr>
      <w:r>
        <w:rPr>
          <w:rFonts w:ascii="Century Gothic" w:hAnsi="Century Gothic"/>
          <w:b/>
          <w:bCs/>
          <w:color w:val="01594B"/>
        </w:rPr>
        <w:t xml:space="preserve">Key </w:t>
      </w:r>
      <w:r w:rsidR="00C70022">
        <w:rPr>
          <w:rFonts w:ascii="Century Gothic" w:hAnsi="Century Gothic"/>
          <w:b/>
          <w:bCs/>
          <w:color w:val="01594B"/>
        </w:rPr>
        <w:t>Recommendations</w:t>
      </w:r>
    </w:p>
    <w:p w14:paraId="33ABBF1D" w14:textId="69F081C5" w:rsidR="00C805A2" w:rsidRDefault="00C70022" w:rsidP="00C805A2">
      <w:pPr>
        <w:pStyle w:val="ListParagraph"/>
        <w:numPr>
          <w:ilvl w:val="0"/>
          <w:numId w:val="8"/>
        </w:numPr>
        <w:spacing w:before="100" w:beforeAutospacing="1" w:after="100" w:afterAutospacing="1"/>
        <w:rPr>
          <w:rFonts w:asciiTheme="majorHAnsi" w:hAnsiTheme="majorHAnsi" w:cstheme="majorHAnsi"/>
          <w:sz w:val="23"/>
          <w:szCs w:val="23"/>
        </w:rPr>
      </w:pPr>
      <w:r w:rsidRPr="00C312DE">
        <w:rPr>
          <w:rFonts w:asciiTheme="majorHAnsi" w:hAnsiTheme="majorHAnsi" w:cstheme="majorHAnsi"/>
          <w:sz w:val="23"/>
          <w:szCs w:val="23"/>
        </w:rPr>
        <w:t xml:space="preserve">Consider referring patients experiencing homelessness </w:t>
      </w:r>
      <w:r w:rsidR="00F52B51">
        <w:rPr>
          <w:rFonts w:asciiTheme="majorHAnsi" w:hAnsiTheme="majorHAnsi" w:cstheme="majorHAnsi"/>
          <w:sz w:val="23"/>
          <w:szCs w:val="23"/>
        </w:rPr>
        <w:t xml:space="preserve">who </w:t>
      </w:r>
      <w:r w:rsidR="004C72E8">
        <w:rPr>
          <w:rFonts w:asciiTheme="majorHAnsi" w:hAnsiTheme="majorHAnsi" w:cstheme="majorHAnsi"/>
          <w:sz w:val="23"/>
          <w:szCs w:val="23"/>
        </w:rPr>
        <w:t>are</w:t>
      </w:r>
      <w:r w:rsidRPr="00C312DE">
        <w:rPr>
          <w:rFonts w:asciiTheme="majorHAnsi" w:hAnsiTheme="majorHAnsi" w:cstheme="majorHAnsi"/>
          <w:sz w:val="23"/>
          <w:szCs w:val="23"/>
        </w:rPr>
        <w:t xml:space="preserve"> </w:t>
      </w:r>
      <w:r w:rsidR="00F52B51">
        <w:rPr>
          <w:rFonts w:asciiTheme="majorHAnsi" w:hAnsiTheme="majorHAnsi" w:cstheme="majorHAnsi"/>
          <w:sz w:val="23"/>
          <w:szCs w:val="23"/>
        </w:rPr>
        <w:t>acute</w:t>
      </w:r>
      <w:r w:rsidR="004C72E8">
        <w:rPr>
          <w:rFonts w:asciiTheme="majorHAnsi" w:hAnsiTheme="majorHAnsi" w:cstheme="majorHAnsi"/>
          <w:sz w:val="23"/>
          <w:szCs w:val="23"/>
        </w:rPr>
        <w:t>ly ill from</w:t>
      </w:r>
      <w:r w:rsidR="00F52B51">
        <w:rPr>
          <w:rFonts w:asciiTheme="majorHAnsi" w:hAnsiTheme="majorHAnsi" w:cstheme="majorHAnsi"/>
          <w:sz w:val="23"/>
          <w:szCs w:val="23"/>
        </w:rPr>
        <w:t xml:space="preserve"> </w:t>
      </w:r>
      <w:r w:rsidRPr="00C312DE">
        <w:rPr>
          <w:rFonts w:asciiTheme="majorHAnsi" w:hAnsiTheme="majorHAnsi" w:cstheme="majorHAnsi"/>
          <w:sz w:val="23"/>
          <w:szCs w:val="23"/>
        </w:rPr>
        <w:t>COVID</w:t>
      </w:r>
      <w:r w:rsidR="00F52B51">
        <w:rPr>
          <w:rFonts w:asciiTheme="majorHAnsi" w:hAnsiTheme="majorHAnsi" w:cstheme="majorHAnsi"/>
          <w:sz w:val="23"/>
          <w:szCs w:val="23"/>
        </w:rPr>
        <w:t>-19</w:t>
      </w:r>
      <w:r w:rsidR="004C72E8">
        <w:rPr>
          <w:rFonts w:asciiTheme="majorHAnsi" w:hAnsiTheme="majorHAnsi" w:cstheme="majorHAnsi"/>
          <w:sz w:val="23"/>
          <w:szCs w:val="23"/>
        </w:rPr>
        <w:t xml:space="preserve"> </w:t>
      </w:r>
      <w:r w:rsidRPr="00C312DE">
        <w:rPr>
          <w:rFonts w:asciiTheme="majorHAnsi" w:hAnsiTheme="majorHAnsi" w:cstheme="majorHAnsi"/>
          <w:sz w:val="23"/>
          <w:szCs w:val="23"/>
        </w:rPr>
        <w:t>to a medical respite program</w:t>
      </w:r>
      <w:r w:rsidR="00604DC5">
        <w:rPr>
          <w:rFonts w:asciiTheme="majorHAnsi" w:hAnsiTheme="majorHAnsi" w:cstheme="majorHAnsi"/>
          <w:sz w:val="23"/>
          <w:szCs w:val="23"/>
        </w:rPr>
        <w:t>, as appropriate</w:t>
      </w:r>
      <w:r w:rsidRPr="00C312DE">
        <w:rPr>
          <w:rFonts w:asciiTheme="majorHAnsi" w:hAnsiTheme="majorHAnsi" w:cstheme="majorHAnsi"/>
          <w:sz w:val="23"/>
          <w:szCs w:val="23"/>
        </w:rPr>
        <w:t>.</w:t>
      </w:r>
      <w:r>
        <w:rPr>
          <w:rFonts w:asciiTheme="majorHAnsi" w:hAnsiTheme="majorHAnsi" w:cstheme="majorHAnsi"/>
          <w:sz w:val="23"/>
          <w:szCs w:val="23"/>
        </w:rPr>
        <w:t xml:space="preserve"> </w:t>
      </w:r>
      <w:r w:rsidR="00F52B51">
        <w:rPr>
          <w:rFonts w:asciiTheme="majorHAnsi" w:hAnsiTheme="majorHAnsi" w:cstheme="majorHAnsi"/>
          <w:sz w:val="23"/>
          <w:szCs w:val="23"/>
        </w:rPr>
        <w:t>Optimizing symptom management a</w:t>
      </w:r>
      <w:r w:rsidR="00850EE0">
        <w:rPr>
          <w:rFonts w:asciiTheme="majorHAnsi" w:hAnsiTheme="majorHAnsi" w:cstheme="majorHAnsi"/>
          <w:sz w:val="23"/>
          <w:szCs w:val="23"/>
        </w:rPr>
        <w:t xml:space="preserve">nd </w:t>
      </w:r>
      <w:r w:rsidR="00F52B51">
        <w:rPr>
          <w:rFonts w:asciiTheme="majorHAnsi" w:hAnsiTheme="majorHAnsi" w:cstheme="majorHAnsi"/>
          <w:sz w:val="23"/>
          <w:szCs w:val="23"/>
        </w:rPr>
        <w:t>improving control of other chronic conditions can decrease risk of Long</w:t>
      </w:r>
      <w:r w:rsidR="00850EE0">
        <w:rPr>
          <w:rFonts w:asciiTheme="majorHAnsi" w:hAnsiTheme="majorHAnsi" w:cstheme="majorHAnsi"/>
          <w:sz w:val="23"/>
          <w:szCs w:val="23"/>
        </w:rPr>
        <w:t>-COVID.</w:t>
      </w:r>
    </w:p>
    <w:p w14:paraId="7BA7C650" w14:textId="31659FA9" w:rsidR="00C70022" w:rsidRDefault="00C70022" w:rsidP="00C805A2">
      <w:pPr>
        <w:pStyle w:val="ListParagraph"/>
        <w:numPr>
          <w:ilvl w:val="0"/>
          <w:numId w:val="8"/>
        </w:numPr>
        <w:spacing w:before="100" w:beforeAutospacing="1" w:after="100" w:afterAutospacing="1"/>
        <w:rPr>
          <w:rFonts w:asciiTheme="majorHAnsi" w:hAnsiTheme="majorHAnsi" w:cstheme="majorHAnsi"/>
          <w:sz w:val="23"/>
          <w:szCs w:val="23"/>
        </w:rPr>
      </w:pPr>
      <w:r>
        <w:rPr>
          <w:rFonts w:asciiTheme="majorHAnsi" w:hAnsiTheme="majorHAnsi" w:cstheme="majorHAnsi"/>
          <w:sz w:val="23"/>
          <w:szCs w:val="23"/>
        </w:rPr>
        <w:t>Prioritize a trauma-informed and patient-centered approach in medic</w:t>
      </w:r>
      <w:r w:rsidR="00F52B51">
        <w:rPr>
          <w:rFonts w:asciiTheme="majorHAnsi" w:hAnsiTheme="majorHAnsi" w:cstheme="majorHAnsi"/>
          <w:sz w:val="23"/>
          <w:szCs w:val="23"/>
        </w:rPr>
        <w:t>a</w:t>
      </w:r>
      <w:r>
        <w:rPr>
          <w:rFonts w:asciiTheme="majorHAnsi" w:hAnsiTheme="majorHAnsi" w:cstheme="majorHAnsi"/>
          <w:sz w:val="23"/>
          <w:szCs w:val="23"/>
        </w:rPr>
        <w:t>l history collection, assessment, and testing.</w:t>
      </w:r>
      <w:r w:rsidR="00690F66">
        <w:rPr>
          <w:rFonts w:asciiTheme="majorHAnsi" w:hAnsiTheme="majorHAnsi" w:cstheme="majorHAnsi"/>
          <w:sz w:val="23"/>
          <w:szCs w:val="23"/>
        </w:rPr>
        <w:t xml:space="preserve"> </w:t>
      </w:r>
    </w:p>
    <w:p w14:paraId="78E211FB" w14:textId="43AB71BA" w:rsidR="005441E2" w:rsidRDefault="00690F66" w:rsidP="00C805A2">
      <w:pPr>
        <w:pStyle w:val="ListParagraph"/>
        <w:numPr>
          <w:ilvl w:val="0"/>
          <w:numId w:val="8"/>
        </w:numPr>
        <w:spacing w:before="100" w:beforeAutospacing="1" w:after="100" w:afterAutospacing="1"/>
        <w:rPr>
          <w:rFonts w:asciiTheme="majorHAnsi" w:hAnsiTheme="majorHAnsi" w:cstheme="majorHAnsi"/>
          <w:sz w:val="23"/>
          <w:szCs w:val="23"/>
        </w:rPr>
      </w:pPr>
      <w:r>
        <w:rPr>
          <w:rFonts w:asciiTheme="majorHAnsi" w:hAnsiTheme="majorHAnsi" w:cstheme="majorHAnsi"/>
          <w:sz w:val="23"/>
          <w:szCs w:val="23"/>
        </w:rPr>
        <w:t>C</w:t>
      </w:r>
      <w:r w:rsidR="003B4B64">
        <w:rPr>
          <w:rFonts w:asciiTheme="majorHAnsi" w:hAnsiTheme="majorHAnsi" w:cstheme="majorHAnsi"/>
          <w:sz w:val="23"/>
          <w:szCs w:val="23"/>
        </w:rPr>
        <w:t>ollaborat</w:t>
      </w:r>
      <w:r>
        <w:rPr>
          <w:rFonts w:asciiTheme="majorHAnsi" w:hAnsiTheme="majorHAnsi" w:cstheme="majorHAnsi"/>
          <w:sz w:val="23"/>
          <w:szCs w:val="23"/>
        </w:rPr>
        <w:t>e</w:t>
      </w:r>
      <w:r w:rsidR="003B4B64">
        <w:rPr>
          <w:rFonts w:asciiTheme="majorHAnsi" w:hAnsiTheme="majorHAnsi" w:cstheme="majorHAnsi"/>
          <w:sz w:val="23"/>
          <w:szCs w:val="23"/>
        </w:rPr>
        <w:t xml:space="preserve"> with behavioral health providers to support those with co-occurring</w:t>
      </w:r>
      <w:r>
        <w:rPr>
          <w:rFonts w:asciiTheme="majorHAnsi" w:hAnsiTheme="majorHAnsi" w:cstheme="majorHAnsi"/>
          <w:sz w:val="23"/>
          <w:szCs w:val="23"/>
        </w:rPr>
        <w:t xml:space="preserve"> mental health</w:t>
      </w:r>
      <w:r w:rsidR="002F7632">
        <w:rPr>
          <w:rFonts w:asciiTheme="majorHAnsi" w:hAnsiTheme="majorHAnsi" w:cstheme="majorHAnsi"/>
          <w:sz w:val="23"/>
          <w:szCs w:val="23"/>
        </w:rPr>
        <w:t xml:space="preserve"> and substance use </w:t>
      </w:r>
      <w:r w:rsidR="003B4B64">
        <w:rPr>
          <w:rFonts w:asciiTheme="majorHAnsi" w:hAnsiTheme="majorHAnsi" w:cstheme="majorHAnsi"/>
          <w:sz w:val="23"/>
          <w:szCs w:val="23"/>
        </w:rPr>
        <w:t>disorders.</w:t>
      </w:r>
      <w:r w:rsidR="005441E2">
        <w:rPr>
          <w:rFonts w:asciiTheme="majorHAnsi" w:hAnsiTheme="majorHAnsi" w:cstheme="majorHAnsi"/>
          <w:sz w:val="23"/>
          <w:szCs w:val="23"/>
        </w:rPr>
        <w:t xml:space="preserve"> </w:t>
      </w:r>
      <w:r w:rsidR="00850EE0">
        <w:rPr>
          <w:rFonts w:asciiTheme="majorHAnsi" w:hAnsiTheme="majorHAnsi" w:cstheme="majorHAnsi"/>
          <w:sz w:val="23"/>
          <w:szCs w:val="23"/>
        </w:rPr>
        <w:t>Both the</w:t>
      </w:r>
      <w:r>
        <w:rPr>
          <w:rFonts w:asciiTheme="majorHAnsi" w:hAnsiTheme="majorHAnsi" w:cstheme="majorHAnsi"/>
          <w:sz w:val="23"/>
          <w:szCs w:val="23"/>
        </w:rPr>
        <w:t xml:space="preserve"> physical illness a</w:t>
      </w:r>
      <w:r w:rsidR="00850EE0">
        <w:rPr>
          <w:rFonts w:asciiTheme="majorHAnsi" w:hAnsiTheme="majorHAnsi" w:cstheme="majorHAnsi"/>
          <w:sz w:val="23"/>
          <w:szCs w:val="23"/>
        </w:rPr>
        <w:t>nd</w:t>
      </w:r>
      <w:r>
        <w:rPr>
          <w:rFonts w:asciiTheme="majorHAnsi" w:hAnsiTheme="majorHAnsi" w:cstheme="majorHAnsi"/>
          <w:sz w:val="23"/>
          <w:szCs w:val="23"/>
        </w:rPr>
        <w:t xml:space="preserve"> the necessary treatment can be triggering event</w:t>
      </w:r>
      <w:r w:rsidR="00850EE0">
        <w:rPr>
          <w:rFonts w:asciiTheme="majorHAnsi" w:hAnsiTheme="majorHAnsi" w:cstheme="majorHAnsi"/>
          <w:sz w:val="23"/>
          <w:szCs w:val="23"/>
        </w:rPr>
        <w:t>s</w:t>
      </w:r>
      <w:r>
        <w:rPr>
          <w:rFonts w:asciiTheme="majorHAnsi" w:hAnsiTheme="majorHAnsi" w:cstheme="majorHAnsi"/>
          <w:sz w:val="23"/>
          <w:szCs w:val="23"/>
        </w:rPr>
        <w:t xml:space="preserve"> for an individual and possibly exacerbate mental illness. </w:t>
      </w:r>
    </w:p>
    <w:p w14:paraId="0B89515D" w14:textId="0797599F" w:rsidR="00A45EB3" w:rsidRDefault="00C70022" w:rsidP="008543B8">
      <w:pPr>
        <w:pStyle w:val="ListParagraph"/>
        <w:numPr>
          <w:ilvl w:val="0"/>
          <w:numId w:val="8"/>
        </w:numPr>
        <w:spacing w:before="100" w:beforeAutospacing="1" w:after="100" w:afterAutospacing="1"/>
        <w:rPr>
          <w:rFonts w:asciiTheme="majorHAnsi" w:hAnsiTheme="majorHAnsi" w:cstheme="majorHAnsi"/>
          <w:sz w:val="23"/>
          <w:szCs w:val="23"/>
        </w:rPr>
      </w:pPr>
      <w:r w:rsidRPr="00A45EB3">
        <w:rPr>
          <w:rFonts w:asciiTheme="majorHAnsi" w:hAnsiTheme="majorHAnsi" w:cstheme="majorHAnsi"/>
          <w:sz w:val="23"/>
          <w:szCs w:val="23"/>
        </w:rPr>
        <w:t>Co-locate assessment, testing, and treatment of Long</w:t>
      </w:r>
      <w:r w:rsidR="00850EE0">
        <w:rPr>
          <w:rFonts w:asciiTheme="majorHAnsi" w:hAnsiTheme="majorHAnsi" w:cstheme="majorHAnsi"/>
          <w:sz w:val="23"/>
          <w:szCs w:val="23"/>
        </w:rPr>
        <w:t>-</w:t>
      </w:r>
      <w:r w:rsidRPr="00A45EB3">
        <w:rPr>
          <w:rFonts w:asciiTheme="majorHAnsi" w:hAnsiTheme="majorHAnsi" w:cstheme="majorHAnsi"/>
          <w:sz w:val="23"/>
          <w:szCs w:val="23"/>
        </w:rPr>
        <w:t>COVID with</w:t>
      </w:r>
      <w:r w:rsidR="005441E2" w:rsidRPr="00A45EB3">
        <w:rPr>
          <w:rFonts w:asciiTheme="majorHAnsi" w:hAnsiTheme="majorHAnsi" w:cstheme="majorHAnsi"/>
          <w:sz w:val="23"/>
          <w:szCs w:val="23"/>
        </w:rPr>
        <w:t xml:space="preserve"> other homeless service providers</w:t>
      </w:r>
      <w:r w:rsidR="00690F66" w:rsidRPr="00A45EB3">
        <w:rPr>
          <w:rFonts w:asciiTheme="majorHAnsi" w:hAnsiTheme="majorHAnsi" w:cstheme="majorHAnsi"/>
          <w:sz w:val="23"/>
          <w:szCs w:val="23"/>
        </w:rPr>
        <w:t xml:space="preserve"> to ensure </w:t>
      </w:r>
      <w:r w:rsidR="00604DC5">
        <w:rPr>
          <w:rFonts w:asciiTheme="majorHAnsi" w:hAnsiTheme="majorHAnsi" w:cstheme="majorHAnsi"/>
          <w:sz w:val="23"/>
          <w:szCs w:val="23"/>
        </w:rPr>
        <w:t xml:space="preserve">access to shelter/housing </w:t>
      </w:r>
      <w:r w:rsidR="00690F66" w:rsidRPr="00A45EB3">
        <w:rPr>
          <w:rFonts w:asciiTheme="majorHAnsi" w:hAnsiTheme="majorHAnsi" w:cstheme="majorHAnsi"/>
          <w:sz w:val="23"/>
          <w:szCs w:val="23"/>
        </w:rPr>
        <w:t>and coordinate</w:t>
      </w:r>
      <w:r w:rsidR="00715812">
        <w:rPr>
          <w:rFonts w:asciiTheme="majorHAnsi" w:hAnsiTheme="majorHAnsi" w:cstheme="majorHAnsi"/>
          <w:sz w:val="23"/>
          <w:szCs w:val="23"/>
        </w:rPr>
        <w:t>d</w:t>
      </w:r>
      <w:r w:rsidR="00690F66" w:rsidRPr="00A45EB3">
        <w:rPr>
          <w:rFonts w:asciiTheme="majorHAnsi" w:hAnsiTheme="majorHAnsi" w:cstheme="majorHAnsi"/>
          <w:sz w:val="23"/>
          <w:szCs w:val="23"/>
        </w:rPr>
        <w:t xml:space="preserve"> wraparound servic</w:t>
      </w:r>
      <w:r w:rsidR="004C72E8">
        <w:rPr>
          <w:rFonts w:asciiTheme="majorHAnsi" w:hAnsiTheme="majorHAnsi" w:cstheme="majorHAnsi"/>
          <w:sz w:val="23"/>
          <w:szCs w:val="23"/>
        </w:rPr>
        <w:t xml:space="preserve">es. </w:t>
      </w:r>
    </w:p>
    <w:p w14:paraId="1F4984D9" w14:textId="5519C9EC" w:rsidR="009C25CE" w:rsidRDefault="009C25CE" w:rsidP="009C25CE">
      <w:pPr>
        <w:pStyle w:val="ListParagraph"/>
        <w:numPr>
          <w:ilvl w:val="0"/>
          <w:numId w:val="8"/>
        </w:numPr>
        <w:spacing w:before="100" w:beforeAutospacing="1" w:after="100" w:afterAutospacing="1"/>
        <w:rPr>
          <w:rFonts w:asciiTheme="majorHAnsi" w:hAnsiTheme="majorHAnsi" w:cstheme="majorHAnsi"/>
          <w:sz w:val="23"/>
          <w:szCs w:val="23"/>
        </w:rPr>
      </w:pPr>
      <w:r>
        <w:rPr>
          <w:rFonts w:asciiTheme="majorHAnsi" w:hAnsiTheme="majorHAnsi" w:cstheme="majorHAnsi"/>
          <w:sz w:val="23"/>
          <w:szCs w:val="23"/>
        </w:rPr>
        <w:t xml:space="preserve">Ensure access to </w:t>
      </w:r>
      <w:r w:rsidR="004C72E8">
        <w:rPr>
          <w:rFonts w:asciiTheme="majorHAnsi" w:hAnsiTheme="majorHAnsi" w:cstheme="majorHAnsi"/>
          <w:sz w:val="23"/>
          <w:szCs w:val="23"/>
        </w:rPr>
        <w:t xml:space="preserve">health care beyond clinic walls through </w:t>
      </w:r>
      <w:r w:rsidR="00604DC5">
        <w:rPr>
          <w:rFonts w:asciiTheme="majorHAnsi" w:hAnsiTheme="majorHAnsi" w:cstheme="majorHAnsi"/>
          <w:sz w:val="23"/>
          <w:szCs w:val="23"/>
        </w:rPr>
        <w:t xml:space="preserve">telehealth services and </w:t>
      </w:r>
      <w:r>
        <w:rPr>
          <w:rFonts w:asciiTheme="majorHAnsi" w:hAnsiTheme="majorHAnsi" w:cstheme="majorHAnsi"/>
          <w:sz w:val="23"/>
          <w:szCs w:val="23"/>
        </w:rPr>
        <w:t>street-based medical care.</w:t>
      </w:r>
    </w:p>
    <w:p w14:paraId="02BF93E4" w14:textId="2E3BF684" w:rsidR="004958C4" w:rsidRPr="00690F66" w:rsidRDefault="00DF777A" w:rsidP="00F52B51">
      <w:pPr>
        <w:spacing w:before="100" w:beforeAutospacing="1" w:after="100" w:afterAutospacing="1"/>
        <w:rPr>
          <w:rFonts w:ascii="Century Gothic" w:eastAsia="Times New Roman" w:hAnsi="Century Gothic" w:cs="Times New Roman"/>
          <w:b/>
          <w:bCs/>
          <w:color w:val="01594B"/>
          <w:sz w:val="23"/>
          <w:szCs w:val="23"/>
          <w:u w:val="single"/>
        </w:rPr>
      </w:pPr>
      <w:hyperlink r:id="rId9">
        <w:r w:rsidR="004958C4" w:rsidRPr="00690F66">
          <w:rPr>
            <w:rFonts w:ascii="Century Gothic" w:eastAsia="Times New Roman" w:hAnsi="Century Gothic" w:cs="Times New Roman"/>
            <w:b/>
            <w:bCs/>
            <w:color w:val="01594B"/>
            <w:sz w:val="23"/>
            <w:szCs w:val="23"/>
            <w:u w:val="single"/>
          </w:rPr>
          <w:t>General Clinical Considerations</w:t>
        </w:r>
      </w:hyperlink>
    </w:p>
    <w:p w14:paraId="40AF3042" w14:textId="3E9D8FA5" w:rsidR="00F52B51" w:rsidRDefault="00F946B5" w:rsidP="004958C4">
      <w:pPr>
        <w:spacing w:before="100" w:beforeAutospacing="1" w:after="100" w:afterAutospacing="1"/>
        <w:rPr>
          <w:rFonts w:asciiTheme="majorHAnsi" w:eastAsia="Times New Roman" w:hAnsiTheme="majorHAnsi" w:cstheme="majorHAnsi"/>
          <w:sz w:val="23"/>
          <w:szCs w:val="23"/>
        </w:rPr>
      </w:pPr>
      <w:r>
        <w:rPr>
          <w:rFonts w:asciiTheme="majorHAnsi" w:eastAsia="Times New Roman" w:hAnsiTheme="majorHAnsi" w:cstheme="majorHAnsi"/>
          <w:sz w:val="23"/>
          <w:szCs w:val="23"/>
        </w:rPr>
        <w:t>Long-</w:t>
      </w:r>
      <w:r w:rsidR="00F52B51" w:rsidRPr="00F52B51">
        <w:rPr>
          <w:rFonts w:asciiTheme="majorHAnsi" w:eastAsia="Times New Roman" w:hAnsiTheme="majorHAnsi" w:cstheme="majorHAnsi"/>
          <w:sz w:val="23"/>
          <w:szCs w:val="23"/>
        </w:rPr>
        <w:t>COVID conditions are associated with a spectrum of physical, social, and psychological consequences, as well as functional limitations that can present substantial challenges to patient wellness and quality of life</w:t>
      </w:r>
      <w:r w:rsidR="00F52B51">
        <w:rPr>
          <w:rFonts w:asciiTheme="majorHAnsi" w:eastAsia="Times New Roman" w:hAnsiTheme="majorHAnsi" w:cstheme="majorHAnsi"/>
          <w:sz w:val="23"/>
          <w:szCs w:val="23"/>
        </w:rPr>
        <w:t>. Team</w:t>
      </w:r>
      <w:r w:rsidR="009F1719">
        <w:rPr>
          <w:rFonts w:asciiTheme="majorHAnsi" w:eastAsia="Times New Roman" w:hAnsiTheme="majorHAnsi" w:cstheme="majorHAnsi"/>
          <w:sz w:val="23"/>
          <w:szCs w:val="23"/>
        </w:rPr>
        <w:t>-</w:t>
      </w:r>
      <w:r w:rsidR="00F52B51">
        <w:rPr>
          <w:rFonts w:asciiTheme="majorHAnsi" w:eastAsia="Times New Roman" w:hAnsiTheme="majorHAnsi" w:cstheme="majorHAnsi"/>
          <w:sz w:val="23"/>
          <w:szCs w:val="23"/>
        </w:rPr>
        <w:t>based care is key to addressing and supporting the myriad of symptoms a person is experiencing</w:t>
      </w:r>
      <w:r w:rsidR="009F1719">
        <w:rPr>
          <w:rFonts w:asciiTheme="majorHAnsi" w:eastAsia="Times New Roman" w:hAnsiTheme="majorHAnsi" w:cstheme="majorHAnsi"/>
          <w:sz w:val="23"/>
          <w:szCs w:val="23"/>
        </w:rPr>
        <w:t>.</w:t>
      </w:r>
    </w:p>
    <w:p w14:paraId="29532596" w14:textId="70534235" w:rsidR="00F24D43" w:rsidRDefault="005441E2" w:rsidP="004958C4">
      <w:pPr>
        <w:spacing w:before="100" w:beforeAutospacing="1" w:after="100" w:afterAutospacing="1"/>
        <w:rPr>
          <w:rFonts w:asciiTheme="majorHAnsi" w:eastAsia="Times New Roman" w:hAnsiTheme="majorHAnsi" w:cstheme="majorHAnsi"/>
          <w:sz w:val="23"/>
          <w:szCs w:val="23"/>
        </w:rPr>
      </w:pPr>
      <w:r>
        <w:rPr>
          <w:rFonts w:asciiTheme="majorHAnsi" w:eastAsia="Times New Roman" w:hAnsiTheme="majorHAnsi" w:cstheme="majorHAnsi"/>
          <w:sz w:val="23"/>
          <w:szCs w:val="23"/>
        </w:rPr>
        <w:t>Patients</w:t>
      </w:r>
      <w:r w:rsidR="004958C4" w:rsidRPr="00C312DE">
        <w:rPr>
          <w:rFonts w:asciiTheme="majorHAnsi" w:eastAsia="Times New Roman" w:hAnsiTheme="majorHAnsi" w:cstheme="majorHAnsi"/>
          <w:sz w:val="23"/>
          <w:szCs w:val="23"/>
        </w:rPr>
        <w:t xml:space="preserve"> who have </w:t>
      </w:r>
      <w:r w:rsidR="003C5706" w:rsidRPr="00C312DE">
        <w:rPr>
          <w:rFonts w:asciiTheme="majorHAnsi" w:eastAsia="Times New Roman" w:hAnsiTheme="majorHAnsi" w:cstheme="majorHAnsi"/>
          <w:sz w:val="23"/>
          <w:szCs w:val="23"/>
        </w:rPr>
        <w:t xml:space="preserve">been hospitalized and have ongoing complications may benefit from being referred to a medical respite </w:t>
      </w:r>
      <w:r w:rsidR="009F1719">
        <w:rPr>
          <w:rFonts w:asciiTheme="majorHAnsi" w:eastAsia="Times New Roman" w:hAnsiTheme="majorHAnsi" w:cstheme="majorHAnsi"/>
          <w:sz w:val="23"/>
          <w:szCs w:val="23"/>
        </w:rPr>
        <w:t xml:space="preserve">care </w:t>
      </w:r>
      <w:r w:rsidR="003C5706" w:rsidRPr="00C312DE">
        <w:rPr>
          <w:rFonts w:asciiTheme="majorHAnsi" w:eastAsia="Times New Roman" w:hAnsiTheme="majorHAnsi" w:cstheme="majorHAnsi"/>
          <w:sz w:val="23"/>
          <w:szCs w:val="23"/>
        </w:rPr>
        <w:t xml:space="preserve">program. </w:t>
      </w:r>
      <w:hyperlink r:id="rId10" w:history="1">
        <w:r w:rsidR="00541FC5" w:rsidRPr="009F1719">
          <w:rPr>
            <w:rStyle w:val="Hyperlink"/>
            <w:rFonts w:asciiTheme="majorHAnsi" w:eastAsia="Times New Roman" w:hAnsiTheme="majorHAnsi" w:cstheme="majorHAnsi"/>
            <w:sz w:val="23"/>
            <w:szCs w:val="23"/>
          </w:rPr>
          <w:t xml:space="preserve">Medical respite </w:t>
        </w:r>
        <w:r w:rsidR="009F1719" w:rsidRPr="009F1719">
          <w:rPr>
            <w:rStyle w:val="Hyperlink"/>
            <w:rFonts w:asciiTheme="majorHAnsi" w:eastAsia="Times New Roman" w:hAnsiTheme="majorHAnsi" w:cstheme="majorHAnsi"/>
            <w:sz w:val="23"/>
            <w:szCs w:val="23"/>
          </w:rPr>
          <w:t>care</w:t>
        </w:r>
      </w:hyperlink>
      <w:r w:rsidR="009F1719">
        <w:rPr>
          <w:rFonts w:asciiTheme="majorHAnsi" w:eastAsia="Times New Roman" w:hAnsiTheme="majorHAnsi" w:cstheme="majorHAnsi"/>
          <w:sz w:val="23"/>
          <w:szCs w:val="23"/>
        </w:rPr>
        <w:t xml:space="preserve"> </w:t>
      </w:r>
      <w:r w:rsidR="00AA6A24" w:rsidRPr="00C312DE">
        <w:rPr>
          <w:rFonts w:asciiTheme="majorHAnsi" w:eastAsia="Times New Roman" w:hAnsiTheme="majorHAnsi" w:cstheme="majorHAnsi"/>
          <w:sz w:val="23"/>
          <w:szCs w:val="23"/>
        </w:rPr>
        <w:t>is acute and post-acute care for persons experiencing homelessness who are too ill or frail to recover from a physical illness or injury on the streets but are not ill enough to be in a hospital</w:t>
      </w:r>
      <w:r w:rsidR="00F52B51">
        <w:rPr>
          <w:rFonts w:asciiTheme="majorHAnsi" w:eastAsia="Times New Roman" w:hAnsiTheme="majorHAnsi" w:cstheme="majorHAnsi"/>
          <w:sz w:val="23"/>
          <w:szCs w:val="23"/>
        </w:rPr>
        <w:t>.</w:t>
      </w:r>
      <w:r w:rsidR="001768B5">
        <w:rPr>
          <w:rFonts w:asciiTheme="majorHAnsi" w:eastAsia="Times New Roman" w:hAnsiTheme="majorHAnsi" w:cstheme="majorHAnsi"/>
          <w:sz w:val="23"/>
          <w:szCs w:val="23"/>
        </w:rPr>
        <w:t xml:space="preserve"> </w:t>
      </w:r>
    </w:p>
    <w:p w14:paraId="5051E070" w14:textId="26FC2E6C" w:rsidR="00384E19" w:rsidRDefault="00384E19" w:rsidP="00384E19">
      <w:pPr>
        <w:spacing w:before="100" w:beforeAutospacing="1" w:after="100" w:afterAutospacing="1"/>
        <w:rPr>
          <w:rFonts w:asciiTheme="majorHAnsi" w:eastAsia="Times New Roman" w:hAnsiTheme="majorHAnsi" w:cstheme="majorHAnsi"/>
          <w:sz w:val="23"/>
          <w:szCs w:val="23"/>
        </w:rPr>
      </w:pPr>
      <w:r>
        <w:rPr>
          <w:rFonts w:asciiTheme="majorHAnsi" w:eastAsia="Times New Roman" w:hAnsiTheme="majorHAnsi" w:cstheme="majorHAnsi"/>
          <w:sz w:val="23"/>
          <w:szCs w:val="23"/>
        </w:rPr>
        <w:t xml:space="preserve">Virtual care </w:t>
      </w:r>
      <w:r w:rsidRPr="00C312DE">
        <w:rPr>
          <w:rFonts w:asciiTheme="majorHAnsi" w:eastAsia="Times New Roman" w:hAnsiTheme="majorHAnsi" w:cstheme="majorHAnsi"/>
          <w:sz w:val="23"/>
          <w:szCs w:val="23"/>
        </w:rPr>
        <w:t>has become a vital resource among people experiencing homelessness</w:t>
      </w:r>
      <w:r w:rsidR="009F1719">
        <w:rPr>
          <w:rFonts w:asciiTheme="majorHAnsi" w:eastAsia="Times New Roman" w:hAnsiTheme="majorHAnsi" w:cstheme="majorHAnsi"/>
          <w:sz w:val="23"/>
          <w:szCs w:val="23"/>
        </w:rPr>
        <w:t>,</w:t>
      </w:r>
      <w:r w:rsidRPr="00C312DE">
        <w:rPr>
          <w:rFonts w:asciiTheme="majorHAnsi" w:eastAsia="Times New Roman" w:hAnsiTheme="majorHAnsi" w:cstheme="majorHAnsi"/>
          <w:sz w:val="23"/>
          <w:szCs w:val="23"/>
        </w:rPr>
        <w:t xml:space="preserve"> however it is not equally available in all regions. Many people experiencing homelessness depend on providers going to the shelters or encampments where they reside or to other homeless service providers that they access. </w:t>
      </w:r>
      <w:r>
        <w:rPr>
          <w:rFonts w:asciiTheme="majorHAnsi" w:eastAsia="Times New Roman" w:hAnsiTheme="majorHAnsi" w:cstheme="majorHAnsi"/>
          <w:sz w:val="23"/>
          <w:szCs w:val="23"/>
        </w:rPr>
        <w:t>To improve access to care</w:t>
      </w:r>
      <w:r w:rsidR="009F1719">
        <w:rPr>
          <w:rFonts w:asciiTheme="majorHAnsi" w:eastAsia="Times New Roman" w:hAnsiTheme="majorHAnsi" w:cstheme="majorHAnsi"/>
          <w:sz w:val="23"/>
          <w:szCs w:val="23"/>
        </w:rPr>
        <w:t>,</w:t>
      </w:r>
      <w:r>
        <w:rPr>
          <w:rFonts w:asciiTheme="majorHAnsi" w:eastAsia="Times New Roman" w:hAnsiTheme="majorHAnsi" w:cstheme="majorHAnsi"/>
          <w:sz w:val="23"/>
          <w:szCs w:val="23"/>
        </w:rPr>
        <w:t xml:space="preserve"> a multipronged approach is recommended. </w:t>
      </w:r>
    </w:p>
    <w:p w14:paraId="701BF81C" w14:textId="06C88D2A" w:rsidR="00384E19" w:rsidRPr="00C312DE" w:rsidRDefault="00384E19" w:rsidP="00384E19">
      <w:pPr>
        <w:pStyle w:val="ListParagraph"/>
        <w:numPr>
          <w:ilvl w:val="0"/>
          <w:numId w:val="1"/>
        </w:numPr>
        <w:spacing w:before="100" w:beforeAutospacing="1" w:after="100" w:afterAutospacing="1" w:line="240" w:lineRule="auto"/>
        <w:rPr>
          <w:rFonts w:asciiTheme="majorHAnsi" w:eastAsia="Times New Roman" w:hAnsiTheme="majorHAnsi" w:cstheme="majorHAnsi"/>
          <w:sz w:val="23"/>
          <w:szCs w:val="23"/>
        </w:rPr>
      </w:pPr>
      <w:r w:rsidRPr="00C312DE">
        <w:rPr>
          <w:rFonts w:asciiTheme="majorHAnsi" w:eastAsia="Times New Roman" w:hAnsiTheme="majorHAnsi" w:cstheme="majorHAnsi"/>
          <w:sz w:val="23"/>
          <w:szCs w:val="23"/>
        </w:rPr>
        <w:t>Ensure access to telehealth services, especially audio only, when allowed by the jurisdiction.</w:t>
      </w:r>
      <w:r w:rsidR="00BC5309">
        <w:rPr>
          <w:rFonts w:asciiTheme="majorHAnsi" w:eastAsia="Times New Roman" w:hAnsiTheme="majorHAnsi" w:cstheme="majorHAnsi"/>
          <w:sz w:val="23"/>
          <w:szCs w:val="23"/>
        </w:rPr>
        <w:t xml:space="preserve"> </w:t>
      </w:r>
      <w:r w:rsidR="00FE6014">
        <w:rPr>
          <w:rFonts w:asciiTheme="majorHAnsi" w:eastAsia="Times New Roman" w:hAnsiTheme="majorHAnsi" w:cstheme="majorHAnsi"/>
          <w:sz w:val="23"/>
          <w:szCs w:val="23"/>
        </w:rPr>
        <w:t>Audio only is essential as it is the most frequently utilized telehealth modality by people experiencing homelessness.</w:t>
      </w:r>
    </w:p>
    <w:p w14:paraId="7C0A38B0" w14:textId="77777777" w:rsidR="00384E19" w:rsidRPr="00C312DE" w:rsidRDefault="00384E19" w:rsidP="00384E19">
      <w:pPr>
        <w:pStyle w:val="ListParagraph"/>
        <w:numPr>
          <w:ilvl w:val="0"/>
          <w:numId w:val="1"/>
        </w:numPr>
        <w:spacing w:before="100" w:beforeAutospacing="1" w:after="100" w:afterAutospacing="1" w:line="240" w:lineRule="auto"/>
        <w:rPr>
          <w:rFonts w:asciiTheme="majorHAnsi" w:eastAsia="Times New Roman" w:hAnsiTheme="majorHAnsi" w:cstheme="majorHAnsi"/>
          <w:sz w:val="23"/>
          <w:szCs w:val="23"/>
        </w:rPr>
      </w:pPr>
      <w:r w:rsidRPr="00C312DE">
        <w:rPr>
          <w:rFonts w:asciiTheme="majorHAnsi" w:eastAsia="Times New Roman" w:hAnsiTheme="majorHAnsi" w:cstheme="majorHAnsi"/>
          <w:sz w:val="23"/>
          <w:szCs w:val="23"/>
        </w:rPr>
        <w:t xml:space="preserve">Provide medical services to encampments and/or public places where people congregate or sleep. </w:t>
      </w:r>
    </w:p>
    <w:p w14:paraId="5A50296B" w14:textId="6E716FCA" w:rsidR="00384E19" w:rsidRPr="00384E19" w:rsidRDefault="00384E19" w:rsidP="004958C4">
      <w:pPr>
        <w:pStyle w:val="ListParagraph"/>
        <w:numPr>
          <w:ilvl w:val="0"/>
          <w:numId w:val="1"/>
        </w:numPr>
        <w:spacing w:before="100" w:beforeAutospacing="1" w:after="100" w:afterAutospacing="1" w:line="240" w:lineRule="auto"/>
        <w:rPr>
          <w:rFonts w:asciiTheme="majorHAnsi" w:eastAsia="Times New Roman" w:hAnsiTheme="majorHAnsi" w:cstheme="majorHAnsi"/>
          <w:sz w:val="23"/>
          <w:szCs w:val="23"/>
        </w:rPr>
      </w:pPr>
      <w:r w:rsidRPr="00C312DE">
        <w:rPr>
          <w:rFonts w:asciiTheme="majorHAnsi" w:eastAsia="Times New Roman" w:hAnsiTheme="majorHAnsi" w:cstheme="majorHAnsi"/>
          <w:sz w:val="23"/>
          <w:szCs w:val="23"/>
        </w:rPr>
        <w:t>Collaborate with homeless service providers to offer onsite assessment at non-congregate and alternate care sites.</w:t>
      </w:r>
    </w:p>
    <w:p w14:paraId="36943808" w14:textId="4E9B6C12" w:rsidR="004958C4" w:rsidRDefault="00DF777A" w:rsidP="004958C4">
      <w:pPr>
        <w:spacing w:before="100" w:beforeAutospacing="1" w:after="100" w:afterAutospacing="1"/>
        <w:rPr>
          <w:rFonts w:ascii="Century Gothic" w:eastAsia="Times New Roman" w:hAnsi="Century Gothic" w:cs="Times New Roman"/>
          <w:b/>
          <w:bCs/>
          <w:color w:val="01594B"/>
          <w:sz w:val="23"/>
          <w:szCs w:val="23"/>
          <w:u w:val="single"/>
        </w:rPr>
      </w:pPr>
      <w:hyperlink r:id="rId11" w:history="1">
        <w:r w:rsidR="004958C4" w:rsidRPr="00C312DE">
          <w:rPr>
            <w:rFonts w:ascii="Century Gothic" w:eastAsia="Times New Roman" w:hAnsi="Century Gothic" w:cs="Times New Roman"/>
            <w:b/>
            <w:bCs/>
            <w:color w:val="01594B"/>
            <w:sz w:val="23"/>
            <w:szCs w:val="23"/>
            <w:u w:val="single"/>
          </w:rPr>
          <w:t>Patient History and Physical Exam</w:t>
        </w:r>
      </w:hyperlink>
    </w:p>
    <w:p w14:paraId="3B8DC71B" w14:textId="5C45F551" w:rsidR="0054359C" w:rsidRPr="00850EE0" w:rsidRDefault="001641F9" w:rsidP="004958C4">
      <w:pPr>
        <w:spacing w:before="100" w:beforeAutospacing="1" w:after="100" w:afterAutospacing="1"/>
        <w:rPr>
          <w:rFonts w:asciiTheme="majorHAnsi" w:eastAsia="Times New Roman" w:hAnsiTheme="majorHAnsi" w:cstheme="majorHAnsi"/>
          <w:sz w:val="23"/>
          <w:szCs w:val="23"/>
        </w:rPr>
      </w:pPr>
      <w:r w:rsidRPr="00850EE0">
        <w:rPr>
          <w:rFonts w:asciiTheme="majorHAnsi" w:eastAsia="Times New Roman" w:hAnsiTheme="majorHAnsi" w:cstheme="majorHAnsi"/>
          <w:sz w:val="23"/>
          <w:szCs w:val="23"/>
        </w:rPr>
        <w:t xml:space="preserve">Below are important considerations to </w:t>
      </w:r>
      <w:r w:rsidR="001768B5" w:rsidRPr="00850EE0">
        <w:rPr>
          <w:rFonts w:asciiTheme="majorHAnsi" w:eastAsia="Times New Roman" w:hAnsiTheme="majorHAnsi" w:cstheme="majorHAnsi"/>
          <w:sz w:val="23"/>
          <w:szCs w:val="23"/>
        </w:rPr>
        <w:t>consider</w:t>
      </w:r>
      <w:r w:rsidRPr="00850EE0">
        <w:rPr>
          <w:rFonts w:asciiTheme="majorHAnsi" w:eastAsia="Times New Roman" w:hAnsiTheme="majorHAnsi" w:cstheme="majorHAnsi"/>
          <w:sz w:val="23"/>
          <w:szCs w:val="23"/>
        </w:rPr>
        <w:t xml:space="preserve"> when completing medical histories and assessment</w:t>
      </w:r>
      <w:r w:rsidR="009F1719" w:rsidRPr="00850EE0">
        <w:rPr>
          <w:rFonts w:asciiTheme="majorHAnsi" w:eastAsia="Times New Roman" w:hAnsiTheme="majorHAnsi" w:cstheme="majorHAnsi"/>
          <w:sz w:val="23"/>
          <w:szCs w:val="23"/>
        </w:rPr>
        <w:t>s</w:t>
      </w:r>
      <w:r w:rsidRPr="00850EE0">
        <w:rPr>
          <w:rFonts w:asciiTheme="majorHAnsi" w:eastAsia="Times New Roman" w:hAnsiTheme="majorHAnsi" w:cstheme="majorHAnsi"/>
          <w:sz w:val="23"/>
          <w:szCs w:val="23"/>
        </w:rPr>
        <w:t xml:space="preserve"> for people experie</w:t>
      </w:r>
      <w:r w:rsidR="00A12E48" w:rsidRPr="00850EE0">
        <w:rPr>
          <w:rFonts w:asciiTheme="majorHAnsi" w:eastAsia="Times New Roman" w:hAnsiTheme="majorHAnsi" w:cstheme="majorHAnsi"/>
          <w:sz w:val="23"/>
          <w:szCs w:val="23"/>
        </w:rPr>
        <w:t>ncing homelessness:</w:t>
      </w:r>
    </w:p>
    <w:p w14:paraId="28A07D5E" w14:textId="2D883CF7" w:rsidR="00932E62" w:rsidRPr="00770BAE" w:rsidRDefault="00387EA2" w:rsidP="00770BAE">
      <w:pPr>
        <w:pStyle w:val="ListParagraph"/>
        <w:numPr>
          <w:ilvl w:val="0"/>
          <w:numId w:val="10"/>
        </w:numPr>
        <w:spacing w:before="100" w:beforeAutospacing="1" w:after="100" w:afterAutospacing="1"/>
        <w:rPr>
          <w:rFonts w:asciiTheme="majorHAnsi" w:eastAsia="Times New Roman" w:hAnsiTheme="majorHAnsi" w:cstheme="majorHAnsi"/>
          <w:sz w:val="23"/>
          <w:szCs w:val="23"/>
        </w:rPr>
      </w:pPr>
      <w:r w:rsidRPr="00770BAE">
        <w:rPr>
          <w:rFonts w:asciiTheme="majorHAnsi" w:eastAsia="Times New Roman" w:hAnsiTheme="majorHAnsi" w:cstheme="majorHAnsi"/>
          <w:sz w:val="23"/>
          <w:szCs w:val="23"/>
        </w:rPr>
        <w:t>Active listening and creative problem</w:t>
      </w:r>
      <w:r w:rsidR="009F1719" w:rsidRPr="00770BAE">
        <w:rPr>
          <w:rFonts w:asciiTheme="majorHAnsi" w:eastAsia="Times New Roman" w:hAnsiTheme="majorHAnsi" w:cstheme="majorHAnsi"/>
          <w:sz w:val="23"/>
          <w:szCs w:val="23"/>
        </w:rPr>
        <w:t>-</w:t>
      </w:r>
      <w:r w:rsidRPr="00770BAE">
        <w:rPr>
          <w:rFonts w:asciiTheme="majorHAnsi" w:eastAsia="Times New Roman" w:hAnsiTheme="majorHAnsi" w:cstheme="majorHAnsi"/>
          <w:sz w:val="23"/>
          <w:szCs w:val="23"/>
        </w:rPr>
        <w:t xml:space="preserve">solving will </w:t>
      </w:r>
      <w:r w:rsidR="006012E4" w:rsidRPr="00770BAE">
        <w:rPr>
          <w:rFonts w:asciiTheme="majorHAnsi" w:eastAsia="Times New Roman" w:hAnsiTheme="majorHAnsi" w:cstheme="majorHAnsi"/>
          <w:sz w:val="23"/>
          <w:szCs w:val="23"/>
        </w:rPr>
        <w:t>help collect a more complete m</w:t>
      </w:r>
      <w:r w:rsidR="00A12E48" w:rsidRPr="00770BAE">
        <w:rPr>
          <w:rFonts w:asciiTheme="majorHAnsi" w:eastAsia="Times New Roman" w:hAnsiTheme="majorHAnsi" w:cstheme="majorHAnsi"/>
          <w:sz w:val="23"/>
          <w:szCs w:val="23"/>
        </w:rPr>
        <w:t>edical history</w:t>
      </w:r>
      <w:r w:rsidR="009F1719" w:rsidRPr="00770BAE">
        <w:rPr>
          <w:rFonts w:asciiTheme="majorHAnsi" w:eastAsia="Times New Roman" w:hAnsiTheme="majorHAnsi" w:cstheme="majorHAnsi"/>
          <w:sz w:val="23"/>
          <w:szCs w:val="23"/>
        </w:rPr>
        <w:t>,</w:t>
      </w:r>
      <w:r w:rsidR="006012E4" w:rsidRPr="00770BAE">
        <w:rPr>
          <w:rFonts w:asciiTheme="majorHAnsi" w:eastAsia="Times New Roman" w:hAnsiTheme="majorHAnsi" w:cstheme="majorHAnsi"/>
          <w:sz w:val="23"/>
          <w:szCs w:val="23"/>
        </w:rPr>
        <w:t xml:space="preserve"> which</w:t>
      </w:r>
      <w:r w:rsidR="00A12E48" w:rsidRPr="00770BAE">
        <w:rPr>
          <w:rFonts w:asciiTheme="majorHAnsi" w:eastAsia="Times New Roman" w:hAnsiTheme="majorHAnsi" w:cstheme="majorHAnsi"/>
          <w:sz w:val="23"/>
          <w:szCs w:val="23"/>
        </w:rPr>
        <w:t xml:space="preserve"> may be sporadic and incomplete due to </w:t>
      </w:r>
      <w:r w:rsidR="008055C8" w:rsidRPr="00770BAE">
        <w:rPr>
          <w:rFonts w:asciiTheme="majorHAnsi" w:eastAsia="Times New Roman" w:hAnsiTheme="majorHAnsi" w:cstheme="majorHAnsi"/>
          <w:sz w:val="23"/>
          <w:szCs w:val="23"/>
        </w:rPr>
        <w:t>limited access to care</w:t>
      </w:r>
      <w:r w:rsidR="00013E08" w:rsidRPr="00770BAE">
        <w:rPr>
          <w:rFonts w:asciiTheme="majorHAnsi" w:eastAsia="Times New Roman" w:hAnsiTheme="majorHAnsi" w:cstheme="majorHAnsi"/>
          <w:sz w:val="23"/>
          <w:szCs w:val="23"/>
        </w:rPr>
        <w:t>.</w:t>
      </w:r>
      <w:r w:rsidR="008055C8" w:rsidRPr="00770BAE">
        <w:rPr>
          <w:rFonts w:asciiTheme="majorHAnsi" w:eastAsia="Times New Roman" w:hAnsiTheme="majorHAnsi" w:cstheme="majorHAnsi"/>
          <w:sz w:val="23"/>
          <w:szCs w:val="23"/>
        </w:rPr>
        <w:t xml:space="preserve"> </w:t>
      </w:r>
    </w:p>
    <w:p w14:paraId="17C0DF18" w14:textId="4531A2B2" w:rsidR="00932E62" w:rsidRDefault="008055C8" w:rsidP="00770BAE">
      <w:pPr>
        <w:pStyle w:val="ListParagraph"/>
        <w:numPr>
          <w:ilvl w:val="0"/>
          <w:numId w:val="10"/>
        </w:numPr>
        <w:spacing w:before="100" w:beforeAutospacing="1" w:after="100" w:afterAutospacing="1"/>
        <w:rPr>
          <w:rFonts w:asciiTheme="majorHAnsi" w:eastAsia="Times New Roman" w:hAnsiTheme="majorHAnsi" w:cstheme="majorHAnsi"/>
          <w:sz w:val="23"/>
          <w:szCs w:val="23"/>
        </w:rPr>
      </w:pPr>
      <w:r w:rsidRPr="00770BAE">
        <w:rPr>
          <w:rFonts w:asciiTheme="majorHAnsi" w:eastAsia="Times New Roman" w:hAnsiTheme="majorHAnsi" w:cstheme="majorHAnsi"/>
          <w:sz w:val="23"/>
          <w:szCs w:val="23"/>
        </w:rPr>
        <w:t>M</w:t>
      </w:r>
      <w:r w:rsidR="004958C4" w:rsidRPr="00770BAE">
        <w:rPr>
          <w:rFonts w:asciiTheme="majorHAnsi" w:eastAsia="Times New Roman" w:hAnsiTheme="majorHAnsi" w:cstheme="majorHAnsi"/>
          <w:sz w:val="23"/>
          <w:szCs w:val="23"/>
        </w:rPr>
        <w:t>any of the symptoms of Long</w:t>
      </w:r>
      <w:r w:rsidR="00850EE0">
        <w:rPr>
          <w:rFonts w:asciiTheme="majorHAnsi" w:eastAsia="Times New Roman" w:hAnsiTheme="majorHAnsi" w:cstheme="majorHAnsi"/>
          <w:sz w:val="23"/>
          <w:szCs w:val="23"/>
        </w:rPr>
        <w:t>-</w:t>
      </w:r>
      <w:r w:rsidR="004958C4" w:rsidRPr="00770BAE">
        <w:rPr>
          <w:rFonts w:asciiTheme="majorHAnsi" w:eastAsia="Times New Roman" w:hAnsiTheme="majorHAnsi" w:cstheme="majorHAnsi"/>
          <w:sz w:val="23"/>
          <w:szCs w:val="23"/>
        </w:rPr>
        <w:t>COVID, including fatigue, “brain fog”, mood changes, headache, and insomnia or other sleep changes, can be common among people experiencing homelessness due to poor living conditions</w:t>
      </w:r>
      <w:r w:rsidR="009F1719" w:rsidRPr="00770BAE">
        <w:rPr>
          <w:rFonts w:asciiTheme="majorHAnsi" w:eastAsia="Times New Roman" w:hAnsiTheme="majorHAnsi" w:cstheme="majorHAnsi"/>
          <w:sz w:val="23"/>
          <w:szCs w:val="23"/>
        </w:rPr>
        <w:t xml:space="preserve"> and/or may be confused with other conditions (e.g., substance use, dementia, etc.)</w:t>
      </w:r>
      <w:r w:rsidR="001768B5" w:rsidRPr="00770BAE">
        <w:rPr>
          <w:rFonts w:asciiTheme="majorHAnsi" w:eastAsia="Times New Roman" w:hAnsiTheme="majorHAnsi" w:cstheme="majorHAnsi"/>
          <w:sz w:val="23"/>
          <w:szCs w:val="23"/>
        </w:rPr>
        <w:t xml:space="preserve">. It is important to </w:t>
      </w:r>
      <w:r w:rsidR="009F1719" w:rsidRPr="00770BAE">
        <w:rPr>
          <w:rFonts w:asciiTheme="majorHAnsi" w:eastAsia="Times New Roman" w:hAnsiTheme="majorHAnsi" w:cstheme="majorHAnsi"/>
          <w:sz w:val="23"/>
          <w:szCs w:val="23"/>
        </w:rPr>
        <w:t xml:space="preserve">consider the possibility of </w:t>
      </w:r>
      <w:r w:rsidR="001768B5" w:rsidRPr="00770BAE">
        <w:rPr>
          <w:rFonts w:asciiTheme="majorHAnsi" w:eastAsia="Times New Roman" w:hAnsiTheme="majorHAnsi" w:cstheme="majorHAnsi"/>
          <w:sz w:val="23"/>
          <w:szCs w:val="23"/>
        </w:rPr>
        <w:t>Long</w:t>
      </w:r>
      <w:r w:rsidR="00850EE0">
        <w:rPr>
          <w:rFonts w:asciiTheme="majorHAnsi" w:eastAsia="Times New Roman" w:hAnsiTheme="majorHAnsi" w:cstheme="majorHAnsi"/>
          <w:sz w:val="23"/>
          <w:szCs w:val="23"/>
        </w:rPr>
        <w:t>-COVID</w:t>
      </w:r>
      <w:r w:rsidR="001768B5" w:rsidRPr="00770BAE">
        <w:rPr>
          <w:rFonts w:asciiTheme="majorHAnsi" w:eastAsia="Times New Roman" w:hAnsiTheme="majorHAnsi" w:cstheme="majorHAnsi"/>
          <w:sz w:val="23"/>
          <w:szCs w:val="23"/>
        </w:rPr>
        <w:t xml:space="preserve"> and include it in differential diagnoses when assessing a complex myriad of symptoms to ensure proper treatment. </w:t>
      </w:r>
    </w:p>
    <w:p w14:paraId="251D9C51" w14:textId="10755E83" w:rsidR="00FE6014" w:rsidRPr="00FE6014" w:rsidRDefault="00FE6014" w:rsidP="00FE6014">
      <w:pPr>
        <w:pStyle w:val="ListParagraph"/>
        <w:numPr>
          <w:ilvl w:val="0"/>
          <w:numId w:val="10"/>
        </w:numPr>
        <w:spacing w:before="100" w:beforeAutospacing="1" w:after="100" w:afterAutospacing="1"/>
        <w:rPr>
          <w:rFonts w:asciiTheme="majorHAnsi" w:eastAsia="Times New Roman" w:hAnsiTheme="majorHAnsi" w:cstheme="majorHAnsi"/>
          <w:sz w:val="23"/>
          <w:szCs w:val="23"/>
        </w:rPr>
      </w:pPr>
      <w:r w:rsidRPr="00770BAE">
        <w:rPr>
          <w:rFonts w:asciiTheme="majorHAnsi" w:eastAsia="Times New Roman" w:hAnsiTheme="majorHAnsi" w:cstheme="majorHAnsi"/>
          <w:sz w:val="23"/>
          <w:szCs w:val="23"/>
        </w:rPr>
        <w:t>Consider additional evaluation for other specific illnesses such as impaired renal function, critical illness myopathy and polyneuropathy, residual cardiac or pulmonary manifestations, and psychiatric sequelae.</w:t>
      </w:r>
      <w:r>
        <w:rPr>
          <w:rStyle w:val="FootnoteReference"/>
          <w:rFonts w:asciiTheme="majorHAnsi" w:eastAsia="Times New Roman" w:hAnsiTheme="majorHAnsi" w:cstheme="majorHAnsi"/>
          <w:sz w:val="23"/>
          <w:szCs w:val="23"/>
        </w:rPr>
        <w:footnoteReference w:id="2"/>
      </w:r>
    </w:p>
    <w:p w14:paraId="268BBBD8" w14:textId="041D554C" w:rsidR="002F15D4" w:rsidRDefault="00013E08" w:rsidP="004958C4">
      <w:pPr>
        <w:pStyle w:val="ListParagraph"/>
        <w:numPr>
          <w:ilvl w:val="0"/>
          <w:numId w:val="10"/>
        </w:numPr>
        <w:spacing w:before="100" w:beforeAutospacing="1" w:after="100" w:afterAutospacing="1"/>
        <w:rPr>
          <w:rFonts w:asciiTheme="majorHAnsi" w:eastAsia="Times New Roman" w:hAnsiTheme="majorHAnsi" w:cstheme="majorHAnsi"/>
          <w:sz w:val="23"/>
          <w:szCs w:val="23"/>
        </w:rPr>
      </w:pPr>
      <w:r w:rsidRPr="00770BAE">
        <w:rPr>
          <w:rFonts w:asciiTheme="majorHAnsi" w:eastAsia="Times New Roman" w:hAnsiTheme="majorHAnsi" w:cstheme="majorHAnsi"/>
          <w:sz w:val="23"/>
          <w:szCs w:val="23"/>
        </w:rPr>
        <w:t>Utilize</w:t>
      </w:r>
      <w:r w:rsidR="00343053" w:rsidRPr="00770BAE">
        <w:rPr>
          <w:rFonts w:asciiTheme="majorHAnsi" w:eastAsia="Times New Roman" w:hAnsiTheme="majorHAnsi" w:cstheme="majorHAnsi"/>
          <w:sz w:val="23"/>
          <w:szCs w:val="23"/>
        </w:rPr>
        <w:t xml:space="preserve"> a trauma-informed approach </w:t>
      </w:r>
      <w:r w:rsidR="009F1719" w:rsidRPr="00770BAE">
        <w:rPr>
          <w:rFonts w:asciiTheme="majorHAnsi" w:eastAsia="Times New Roman" w:hAnsiTheme="majorHAnsi" w:cstheme="majorHAnsi"/>
          <w:sz w:val="23"/>
          <w:szCs w:val="23"/>
        </w:rPr>
        <w:t xml:space="preserve">when collecting </w:t>
      </w:r>
      <w:r w:rsidR="00343053" w:rsidRPr="00770BAE">
        <w:rPr>
          <w:rFonts w:asciiTheme="majorHAnsi" w:eastAsia="Times New Roman" w:hAnsiTheme="majorHAnsi" w:cstheme="majorHAnsi"/>
          <w:sz w:val="23"/>
          <w:szCs w:val="23"/>
        </w:rPr>
        <w:t>a person’s history, during their assessment</w:t>
      </w:r>
      <w:r w:rsidR="009F1719" w:rsidRPr="00770BAE">
        <w:rPr>
          <w:rFonts w:asciiTheme="majorHAnsi" w:eastAsia="Times New Roman" w:hAnsiTheme="majorHAnsi" w:cstheme="majorHAnsi"/>
          <w:sz w:val="23"/>
          <w:szCs w:val="23"/>
        </w:rPr>
        <w:t>,</w:t>
      </w:r>
      <w:r w:rsidR="00343053" w:rsidRPr="00770BAE">
        <w:rPr>
          <w:rFonts w:asciiTheme="majorHAnsi" w:eastAsia="Times New Roman" w:hAnsiTheme="majorHAnsi" w:cstheme="majorHAnsi"/>
          <w:sz w:val="23"/>
          <w:szCs w:val="23"/>
        </w:rPr>
        <w:t xml:space="preserve"> and throughout their care</w:t>
      </w:r>
      <w:r w:rsidR="00850EE0">
        <w:rPr>
          <w:rFonts w:asciiTheme="majorHAnsi" w:eastAsia="Times New Roman" w:hAnsiTheme="majorHAnsi" w:cstheme="majorHAnsi"/>
          <w:sz w:val="23"/>
          <w:szCs w:val="23"/>
        </w:rPr>
        <w:t>. B</w:t>
      </w:r>
      <w:r w:rsidR="006512CD" w:rsidRPr="00770BAE">
        <w:rPr>
          <w:rFonts w:asciiTheme="majorHAnsi" w:eastAsia="Times New Roman" w:hAnsiTheme="majorHAnsi" w:cstheme="majorHAnsi"/>
          <w:sz w:val="23"/>
          <w:szCs w:val="23"/>
        </w:rPr>
        <w:t>ehavioral health conditions</w:t>
      </w:r>
      <w:r w:rsidR="00343053" w:rsidRPr="00770BAE">
        <w:rPr>
          <w:rFonts w:asciiTheme="majorHAnsi" w:eastAsia="Times New Roman" w:hAnsiTheme="majorHAnsi" w:cstheme="majorHAnsi"/>
          <w:sz w:val="23"/>
          <w:szCs w:val="23"/>
        </w:rPr>
        <w:t xml:space="preserve"> may</w:t>
      </w:r>
      <w:r w:rsidR="006512CD" w:rsidRPr="00770BAE">
        <w:rPr>
          <w:rFonts w:asciiTheme="majorHAnsi" w:eastAsia="Times New Roman" w:hAnsiTheme="majorHAnsi" w:cstheme="majorHAnsi"/>
          <w:sz w:val="23"/>
          <w:szCs w:val="23"/>
        </w:rPr>
        <w:t xml:space="preserve"> have been exacerbated during the pandemic due to isolation and lack of access to providers. </w:t>
      </w:r>
    </w:p>
    <w:p w14:paraId="745E04E5" w14:textId="77777777" w:rsidR="00850EE0" w:rsidRDefault="00850EE0" w:rsidP="00850EE0">
      <w:pPr>
        <w:pStyle w:val="ListParagraph"/>
        <w:spacing w:before="100" w:beforeAutospacing="1" w:after="100" w:afterAutospacing="1"/>
        <w:ind w:left="360"/>
        <w:rPr>
          <w:rFonts w:asciiTheme="majorHAnsi" w:eastAsia="Times New Roman" w:hAnsiTheme="majorHAnsi" w:cstheme="majorHAnsi"/>
          <w:sz w:val="23"/>
          <w:szCs w:val="23"/>
        </w:rPr>
      </w:pPr>
    </w:p>
    <w:p w14:paraId="3FA04DA1" w14:textId="6A71B077" w:rsidR="004958C4" w:rsidRPr="00432DF5" w:rsidRDefault="004958C4" w:rsidP="00432DF5">
      <w:pPr>
        <w:spacing w:before="100" w:beforeAutospacing="1" w:after="100" w:afterAutospacing="1"/>
        <w:rPr>
          <w:rFonts w:asciiTheme="majorHAnsi" w:eastAsia="Times New Roman" w:hAnsiTheme="majorHAnsi" w:cstheme="majorHAnsi"/>
          <w:sz w:val="23"/>
          <w:szCs w:val="23"/>
        </w:rPr>
      </w:pPr>
      <w:r w:rsidRPr="00432DF5">
        <w:rPr>
          <w:rFonts w:ascii="Century Gothic" w:eastAsia="Times New Roman" w:hAnsi="Century Gothic" w:cs="Times New Roman"/>
          <w:b/>
          <w:bCs/>
          <w:color w:val="01594B"/>
          <w:sz w:val="23"/>
          <w:szCs w:val="23"/>
          <w:u w:val="single"/>
        </w:rPr>
        <w:lastRenderedPageBreak/>
        <w:t>Assessment</w:t>
      </w:r>
    </w:p>
    <w:p w14:paraId="67442CF5" w14:textId="3A22E3A7" w:rsidR="00384E19" w:rsidRDefault="00850EE0" w:rsidP="004958C4">
      <w:pPr>
        <w:spacing w:before="100" w:beforeAutospacing="1" w:after="100" w:afterAutospacing="1"/>
        <w:rPr>
          <w:rFonts w:ascii="Century Gothic" w:eastAsia="Times New Roman" w:hAnsi="Century Gothic" w:cs="Times New Roman"/>
          <w:b/>
          <w:bCs/>
          <w:color w:val="01594B"/>
          <w:sz w:val="23"/>
          <w:szCs w:val="23"/>
          <w:u w:val="single"/>
        </w:rPr>
      </w:pPr>
      <w:r>
        <w:rPr>
          <w:rFonts w:asciiTheme="majorHAnsi" w:eastAsia="Times New Roman" w:hAnsiTheme="majorHAnsi" w:cstheme="majorHAnsi"/>
          <w:sz w:val="23"/>
          <w:szCs w:val="23"/>
        </w:rPr>
        <w:t xml:space="preserve">The CDC recommends </w:t>
      </w:r>
      <w:r w:rsidR="00384E19">
        <w:rPr>
          <w:rFonts w:asciiTheme="majorHAnsi" w:eastAsia="Times New Roman" w:hAnsiTheme="majorHAnsi" w:cstheme="majorHAnsi"/>
          <w:sz w:val="23"/>
          <w:szCs w:val="23"/>
        </w:rPr>
        <w:t xml:space="preserve">Functional Status and Quality of Life assessment tools </w:t>
      </w:r>
      <w:r>
        <w:rPr>
          <w:rFonts w:asciiTheme="majorHAnsi" w:eastAsia="Times New Roman" w:hAnsiTheme="majorHAnsi" w:cstheme="majorHAnsi"/>
          <w:sz w:val="23"/>
          <w:szCs w:val="23"/>
        </w:rPr>
        <w:t>in addition to laboratory tests:</w:t>
      </w:r>
    </w:p>
    <w:p w14:paraId="0E17B98A" w14:textId="77777777" w:rsidR="00BD48E6" w:rsidRDefault="00BD48E6" w:rsidP="00384E19">
      <w:pPr>
        <w:pStyle w:val="ListParagraph"/>
        <w:numPr>
          <w:ilvl w:val="0"/>
          <w:numId w:val="1"/>
        </w:numPr>
        <w:spacing w:before="100" w:beforeAutospacing="1" w:after="100" w:afterAutospacing="1" w:line="240" w:lineRule="auto"/>
        <w:rPr>
          <w:rFonts w:asciiTheme="majorHAnsi" w:eastAsia="Times New Roman" w:hAnsiTheme="majorHAnsi" w:cstheme="majorHAnsi"/>
          <w:sz w:val="23"/>
          <w:szCs w:val="23"/>
        </w:rPr>
        <w:sectPr w:rsidR="00BD48E6" w:rsidSect="00F84A03">
          <w:headerReference w:type="default" r:id="rId12"/>
          <w:footerReference w:type="even" r:id="rId13"/>
          <w:footerReference w:type="default" r:id="rId14"/>
          <w:headerReference w:type="first" r:id="rId15"/>
          <w:footerReference w:type="first" r:id="rId16"/>
          <w:pgSz w:w="12240" w:h="15840"/>
          <w:pgMar w:top="1440" w:right="1080" w:bottom="1440" w:left="1080" w:header="642" w:footer="351" w:gutter="0"/>
          <w:cols w:space="720"/>
          <w:titlePg/>
          <w:docGrid w:linePitch="360"/>
        </w:sectPr>
      </w:pPr>
    </w:p>
    <w:p w14:paraId="37345E34" w14:textId="1433462C" w:rsidR="00384E19" w:rsidRPr="00C312DE" w:rsidRDefault="00384E19" w:rsidP="00384E19">
      <w:pPr>
        <w:pStyle w:val="ListParagraph"/>
        <w:numPr>
          <w:ilvl w:val="0"/>
          <w:numId w:val="1"/>
        </w:numPr>
        <w:spacing w:before="100" w:beforeAutospacing="1" w:after="100" w:afterAutospacing="1" w:line="240" w:lineRule="auto"/>
        <w:rPr>
          <w:rFonts w:asciiTheme="majorHAnsi" w:eastAsia="Times New Roman" w:hAnsiTheme="majorHAnsi" w:cstheme="majorHAnsi"/>
          <w:sz w:val="23"/>
          <w:szCs w:val="23"/>
        </w:rPr>
      </w:pPr>
      <w:r w:rsidRPr="00C312DE">
        <w:rPr>
          <w:rFonts w:asciiTheme="majorHAnsi" w:eastAsia="Times New Roman" w:hAnsiTheme="majorHAnsi" w:cstheme="majorHAnsi"/>
          <w:sz w:val="23"/>
          <w:szCs w:val="23"/>
        </w:rPr>
        <w:t>Assess</w:t>
      </w:r>
      <w:r>
        <w:rPr>
          <w:rFonts w:asciiTheme="majorHAnsi" w:eastAsia="Times New Roman" w:hAnsiTheme="majorHAnsi" w:cstheme="majorHAnsi"/>
          <w:sz w:val="23"/>
          <w:szCs w:val="23"/>
        </w:rPr>
        <w:t xml:space="preserve"> for</w:t>
      </w:r>
      <w:r w:rsidRPr="00C312DE">
        <w:rPr>
          <w:rFonts w:asciiTheme="majorHAnsi" w:eastAsia="Times New Roman" w:hAnsiTheme="majorHAnsi" w:cstheme="majorHAnsi"/>
          <w:sz w:val="23"/>
          <w:szCs w:val="23"/>
        </w:rPr>
        <w:t xml:space="preserve"> activities of daily living</w:t>
      </w:r>
      <w:r>
        <w:rPr>
          <w:rFonts w:asciiTheme="majorHAnsi" w:eastAsia="Times New Roman" w:hAnsiTheme="majorHAnsi" w:cstheme="majorHAnsi"/>
          <w:sz w:val="23"/>
          <w:szCs w:val="23"/>
        </w:rPr>
        <w:t>.</w:t>
      </w:r>
    </w:p>
    <w:p w14:paraId="6F0EB9F1" w14:textId="77777777" w:rsidR="00384E19" w:rsidRPr="00C312DE" w:rsidRDefault="00384E19" w:rsidP="00384E19">
      <w:pPr>
        <w:pStyle w:val="ListParagraph"/>
        <w:numPr>
          <w:ilvl w:val="0"/>
          <w:numId w:val="1"/>
        </w:numPr>
        <w:spacing w:before="100" w:beforeAutospacing="1" w:after="100" w:afterAutospacing="1" w:line="240" w:lineRule="auto"/>
        <w:rPr>
          <w:rFonts w:asciiTheme="majorHAnsi" w:eastAsia="Times New Roman" w:hAnsiTheme="majorHAnsi" w:cstheme="majorHAnsi"/>
          <w:sz w:val="23"/>
          <w:szCs w:val="23"/>
        </w:rPr>
      </w:pPr>
      <w:r w:rsidRPr="00C312DE">
        <w:rPr>
          <w:rFonts w:asciiTheme="majorHAnsi" w:eastAsia="Times New Roman" w:hAnsiTheme="majorHAnsi" w:cstheme="majorHAnsi"/>
          <w:sz w:val="23"/>
          <w:szCs w:val="23"/>
        </w:rPr>
        <w:t>Assess for behavioral health impact.</w:t>
      </w:r>
    </w:p>
    <w:p w14:paraId="0E70C87E" w14:textId="064C5980" w:rsidR="00384E19" w:rsidRPr="00384E19" w:rsidRDefault="00384E19" w:rsidP="004958C4">
      <w:pPr>
        <w:pStyle w:val="ListParagraph"/>
        <w:numPr>
          <w:ilvl w:val="0"/>
          <w:numId w:val="1"/>
        </w:numPr>
        <w:spacing w:before="100" w:beforeAutospacing="1" w:after="100" w:afterAutospacing="1" w:line="240" w:lineRule="auto"/>
        <w:rPr>
          <w:rFonts w:asciiTheme="majorHAnsi" w:eastAsia="Times New Roman" w:hAnsiTheme="majorHAnsi" w:cstheme="majorHAnsi"/>
          <w:sz w:val="23"/>
          <w:szCs w:val="23"/>
        </w:rPr>
      </w:pPr>
      <w:r w:rsidRPr="00C312DE">
        <w:rPr>
          <w:rFonts w:asciiTheme="majorHAnsi" w:eastAsia="Times New Roman" w:hAnsiTheme="majorHAnsi" w:cstheme="majorHAnsi"/>
          <w:sz w:val="23"/>
          <w:szCs w:val="23"/>
        </w:rPr>
        <w:t>Assess for substance use changes</w:t>
      </w:r>
      <w:r>
        <w:rPr>
          <w:rFonts w:asciiTheme="majorHAnsi" w:eastAsia="Times New Roman" w:hAnsiTheme="majorHAnsi" w:cstheme="majorHAnsi"/>
          <w:sz w:val="23"/>
          <w:szCs w:val="23"/>
        </w:rPr>
        <w:t>.</w:t>
      </w:r>
    </w:p>
    <w:p w14:paraId="05B1B26B" w14:textId="77777777" w:rsidR="00BD48E6" w:rsidRDefault="00BD48E6" w:rsidP="004958C4">
      <w:pPr>
        <w:spacing w:before="100" w:beforeAutospacing="1" w:after="100" w:afterAutospacing="1"/>
        <w:sectPr w:rsidR="00BD48E6" w:rsidSect="00BD48E6">
          <w:type w:val="continuous"/>
          <w:pgSz w:w="12240" w:h="15840"/>
          <w:pgMar w:top="1440" w:right="1080" w:bottom="1440" w:left="1080" w:header="642" w:footer="351" w:gutter="0"/>
          <w:cols w:num="2" w:space="720"/>
          <w:titlePg/>
          <w:docGrid w:linePitch="360"/>
        </w:sectPr>
      </w:pPr>
    </w:p>
    <w:p w14:paraId="22205486" w14:textId="77777777" w:rsidR="00BD48E6" w:rsidRDefault="00BD48E6" w:rsidP="00BD48E6">
      <w:pPr>
        <w:spacing w:before="100" w:beforeAutospacing="1"/>
      </w:pPr>
    </w:p>
    <w:p w14:paraId="43AD1203" w14:textId="37DD447C" w:rsidR="004958C4" w:rsidRPr="00C312DE" w:rsidRDefault="00BD48E6" w:rsidP="00BD48E6">
      <w:pPr>
        <w:spacing w:after="100" w:afterAutospacing="1"/>
        <w:rPr>
          <w:rFonts w:ascii="Century Gothic" w:eastAsia="Times New Roman" w:hAnsi="Century Gothic" w:cs="Times New Roman"/>
          <w:b/>
          <w:bCs/>
          <w:color w:val="01594B"/>
          <w:sz w:val="23"/>
          <w:szCs w:val="23"/>
          <w:u w:val="single"/>
        </w:rPr>
      </w:pPr>
      <w:hyperlink r:id="rId17" w:history="1">
        <w:r w:rsidR="004958C4" w:rsidRPr="00C312DE">
          <w:rPr>
            <w:rFonts w:ascii="Century Gothic" w:eastAsia="Times New Roman" w:hAnsi="Century Gothic" w:cs="Times New Roman"/>
            <w:b/>
            <w:bCs/>
            <w:color w:val="01594B"/>
            <w:sz w:val="23"/>
            <w:szCs w:val="23"/>
            <w:u w:val="single"/>
          </w:rPr>
          <w:t xml:space="preserve">Management of </w:t>
        </w:r>
        <w:r w:rsidR="00F946B5">
          <w:rPr>
            <w:rFonts w:ascii="Century Gothic" w:eastAsia="Times New Roman" w:hAnsi="Century Gothic" w:cs="Times New Roman"/>
            <w:b/>
            <w:bCs/>
            <w:color w:val="01594B"/>
            <w:sz w:val="23"/>
            <w:szCs w:val="23"/>
            <w:u w:val="single"/>
          </w:rPr>
          <w:t>Long-</w:t>
        </w:r>
        <w:r w:rsidR="004958C4" w:rsidRPr="00C312DE">
          <w:rPr>
            <w:rFonts w:ascii="Century Gothic" w:eastAsia="Times New Roman" w:hAnsi="Century Gothic" w:cs="Times New Roman"/>
            <w:b/>
            <w:bCs/>
            <w:color w:val="01594B"/>
            <w:sz w:val="23"/>
            <w:szCs w:val="23"/>
            <w:u w:val="single"/>
          </w:rPr>
          <w:t>COVID Conditions</w:t>
        </w:r>
      </w:hyperlink>
    </w:p>
    <w:p w14:paraId="24587F3D" w14:textId="0916FCF9" w:rsidR="00932E62" w:rsidRDefault="004958C4" w:rsidP="004958C4">
      <w:pPr>
        <w:spacing w:before="100" w:beforeAutospacing="1" w:after="100" w:afterAutospacing="1"/>
        <w:rPr>
          <w:rFonts w:asciiTheme="majorHAnsi" w:eastAsia="Times New Roman" w:hAnsiTheme="majorHAnsi" w:cstheme="majorHAnsi"/>
          <w:sz w:val="23"/>
          <w:szCs w:val="23"/>
        </w:rPr>
      </w:pPr>
      <w:r w:rsidRPr="00C312DE">
        <w:rPr>
          <w:rFonts w:asciiTheme="majorHAnsi" w:eastAsia="Times New Roman" w:hAnsiTheme="majorHAnsi" w:cstheme="majorHAnsi"/>
          <w:sz w:val="23"/>
          <w:szCs w:val="23"/>
        </w:rPr>
        <w:t>Given how little is known about Long</w:t>
      </w:r>
      <w:r w:rsidR="00850EE0">
        <w:rPr>
          <w:rFonts w:asciiTheme="majorHAnsi" w:eastAsia="Times New Roman" w:hAnsiTheme="majorHAnsi" w:cstheme="majorHAnsi"/>
          <w:sz w:val="23"/>
          <w:szCs w:val="23"/>
        </w:rPr>
        <w:t>-</w:t>
      </w:r>
      <w:r w:rsidRPr="00C312DE">
        <w:rPr>
          <w:rFonts w:asciiTheme="majorHAnsi" w:eastAsia="Times New Roman" w:hAnsiTheme="majorHAnsi" w:cstheme="majorHAnsi"/>
          <w:sz w:val="23"/>
          <w:szCs w:val="23"/>
        </w:rPr>
        <w:t xml:space="preserve">COVID </w:t>
      </w:r>
      <w:r w:rsidR="009F1719">
        <w:rPr>
          <w:rFonts w:asciiTheme="majorHAnsi" w:eastAsia="Times New Roman" w:hAnsiTheme="majorHAnsi" w:cstheme="majorHAnsi"/>
          <w:sz w:val="23"/>
          <w:szCs w:val="23"/>
        </w:rPr>
        <w:t xml:space="preserve">at this time </w:t>
      </w:r>
      <w:r w:rsidRPr="00C312DE">
        <w:rPr>
          <w:rFonts w:asciiTheme="majorHAnsi" w:eastAsia="Times New Roman" w:hAnsiTheme="majorHAnsi" w:cstheme="majorHAnsi"/>
          <w:sz w:val="23"/>
          <w:szCs w:val="23"/>
        </w:rPr>
        <w:t>and the evolving research on its impact and duration, patient-</w:t>
      </w:r>
      <w:r w:rsidR="00F26539" w:rsidRPr="00C312DE">
        <w:rPr>
          <w:rFonts w:asciiTheme="majorHAnsi" w:eastAsia="Times New Roman" w:hAnsiTheme="majorHAnsi" w:cstheme="majorHAnsi"/>
          <w:sz w:val="23"/>
          <w:szCs w:val="23"/>
        </w:rPr>
        <w:t>driven</w:t>
      </w:r>
      <w:r w:rsidRPr="00C312DE">
        <w:rPr>
          <w:rFonts w:asciiTheme="majorHAnsi" w:eastAsia="Times New Roman" w:hAnsiTheme="majorHAnsi" w:cstheme="majorHAnsi"/>
          <w:sz w:val="23"/>
          <w:szCs w:val="23"/>
        </w:rPr>
        <w:t xml:space="preserve"> goal development and treatment planning</w:t>
      </w:r>
      <w:r w:rsidR="00850EE0">
        <w:rPr>
          <w:rFonts w:asciiTheme="majorHAnsi" w:eastAsia="Times New Roman" w:hAnsiTheme="majorHAnsi" w:cstheme="majorHAnsi"/>
          <w:sz w:val="23"/>
          <w:szCs w:val="23"/>
        </w:rPr>
        <w:t xml:space="preserve"> is essential</w:t>
      </w:r>
      <w:r w:rsidRPr="00C312DE">
        <w:rPr>
          <w:rFonts w:asciiTheme="majorHAnsi" w:eastAsia="Times New Roman" w:hAnsiTheme="majorHAnsi" w:cstheme="majorHAnsi"/>
          <w:sz w:val="23"/>
          <w:szCs w:val="23"/>
        </w:rPr>
        <w:t xml:space="preserve">. </w:t>
      </w:r>
      <w:r w:rsidR="000C17E3">
        <w:rPr>
          <w:rFonts w:asciiTheme="majorHAnsi" w:eastAsia="Times New Roman" w:hAnsiTheme="majorHAnsi" w:cstheme="majorHAnsi"/>
          <w:sz w:val="23"/>
          <w:szCs w:val="23"/>
        </w:rPr>
        <w:t xml:space="preserve">Manifestations of </w:t>
      </w:r>
      <w:r w:rsidR="00850EE0">
        <w:rPr>
          <w:rFonts w:asciiTheme="majorHAnsi" w:eastAsia="Times New Roman" w:hAnsiTheme="majorHAnsi" w:cstheme="majorHAnsi"/>
          <w:sz w:val="23"/>
          <w:szCs w:val="23"/>
        </w:rPr>
        <w:t>Long-</w:t>
      </w:r>
      <w:r w:rsidR="000C17E3">
        <w:rPr>
          <w:rFonts w:asciiTheme="majorHAnsi" w:eastAsia="Times New Roman" w:hAnsiTheme="majorHAnsi" w:cstheme="majorHAnsi"/>
          <w:sz w:val="23"/>
          <w:szCs w:val="23"/>
        </w:rPr>
        <w:t>COVID continue to evolve and may present different</w:t>
      </w:r>
      <w:r w:rsidR="009F1719">
        <w:rPr>
          <w:rFonts w:asciiTheme="majorHAnsi" w:eastAsia="Times New Roman" w:hAnsiTheme="majorHAnsi" w:cstheme="majorHAnsi"/>
          <w:sz w:val="23"/>
          <w:szCs w:val="23"/>
        </w:rPr>
        <w:t>ly in various patients,</w:t>
      </w:r>
      <w:r w:rsidR="00E94A3D">
        <w:rPr>
          <w:rFonts w:asciiTheme="majorHAnsi" w:eastAsia="Times New Roman" w:hAnsiTheme="majorHAnsi" w:cstheme="majorHAnsi"/>
          <w:sz w:val="23"/>
          <w:szCs w:val="23"/>
        </w:rPr>
        <w:t xml:space="preserve"> and</w:t>
      </w:r>
      <w:r w:rsidR="009F1719">
        <w:rPr>
          <w:rFonts w:asciiTheme="majorHAnsi" w:eastAsia="Times New Roman" w:hAnsiTheme="majorHAnsi" w:cstheme="majorHAnsi"/>
          <w:sz w:val="23"/>
          <w:szCs w:val="23"/>
        </w:rPr>
        <w:t>/or</w:t>
      </w:r>
      <w:r w:rsidR="00E94A3D">
        <w:rPr>
          <w:rFonts w:asciiTheme="majorHAnsi" w:eastAsia="Times New Roman" w:hAnsiTheme="majorHAnsi" w:cstheme="majorHAnsi"/>
          <w:sz w:val="23"/>
          <w:szCs w:val="23"/>
        </w:rPr>
        <w:t xml:space="preserve"> be harder to detect</w:t>
      </w:r>
      <w:r w:rsidR="000C17E3">
        <w:rPr>
          <w:rFonts w:asciiTheme="majorHAnsi" w:eastAsia="Times New Roman" w:hAnsiTheme="majorHAnsi" w:cstheme="majorHAnsi"/>
          <w:sz w:val="23"/>
          <w:szCs w:val="23"/>
        </w:rPr>
        <w:t xml:space="preserve"> among people</w:t>
      </w:r>
      <w:r w:rsidR="00E94A3D">
        <w:rPr>
          <w:rFonts w:asciiTheme="majorHAnsi" w:eastAsia="Times New Roman" w:hAnsiTheme="majorHAnsi" w:cstheme="majorHAnsi"/>
          <w:sz w:val="23"/>
          <w:szCs w:val="23"/>
        </w:rPr>
        <w:t xml:space="preserve"> experiencing homelessness. </w:t>
      </w:r>
      <w:r w:rsidR="000C17E3">
        <w:rPr>
          <w:rFonts w:asciiTheme="majorHAnsi" w:eastAsia="Times New Roman" w:hAnsiTheme="majorHAnsi" w:cstheme="majorHAnsi"/>
          <w:sz w:val="23"/>
          <w:szCs w:val="23"/>
        </w:rPr>
        <w:t xml:space="preserve"> </w:t>
      </w:r>
    </w:p>
    <w:p w14:paraId="3D974FDC" w14:textId="28A30AF5" w:rsidR="004958C4" w:rsidRPr="00C312DE" w:rsidRDefault="00F26539" w:rsidP="004958C4">
      <w:pPr>
        <w:spacing w:before="100" w:beforeAutospacing="1" w:after="100" w:afterAutospacing="1"/>
        <w:rPr>
          <w:rFonts w:asciiTheme="majorHAnsi" w:eastAsia="Times New Roman" w:hAnsiTheme="majorHAnsi" w:cstheme="majorHAnsi"/>
          <w:sz w:val="23"/>
          <w:szCs w:val="23"/>
        </w:rPr>
      </w:pPr>
      <w:r w:rsidRPr="00C312DE">
        <w:rPr>
          <w:rFonts w:asciiTheme="majorHAnsi" w:eastAsia="Times New Roman" w:hAnsiTheme="majorHAnsi" w:cstheme="majorHAnsi"/>
          <w:sz w:val="23"/>
          <w:szCs w:val="23"/>
        </w:rPr>
        <w:t>The CDC highligh</w:t>
      </w:r>
      <w:r w:rsidR="00BD48E6">
        <w:rPr>
          <w:rFonts w:asciiTheme="majorHAnsi" w:eastAsia="Times New Roman" w:hAnsiTheme="majorHAnsi" w:cstheme="majorHAnsi"/>
          <w:sz w:val="23"/>
          <w:szCs w:val="23"/>
        </w:rPr>
        <w:t>ts</w:t>
      </w:r>
      <w:r w:rsidRPr="00C312DE">
        <w:rPr>
          <w:rFonts w:asciiTheme="majorHAnsi" w:eastAsia="Times New Roman" w:hAnsiTheme="majorHAnsi" w:cstheme="majorHAnsi"/>
          <w:sz w:val="23"/>
          <w:szCs w:val="23"/>
        </w:rPr>
        <w:t xml:space="preserve"> that people of color have experienced a higher burden of COVID-19 in part because of structural racism and longstanding disparities in social determinants of health, which could reasonably lead to a higher incidence of </w:t>
      </w:r>
      <w:r w:rsidR="00F946B5">
        <w:rPr>
          <w:rFonts w:asciiTheme="majorHAnsi" w:eastAsia="Times New Roman" w:hAnsiTheme="majorHAnsi" w:cstheme="majorHAnsi"/>
          <w:sz w:val="23"/>
          <w:szCs w:val="23"/>
        </w:rPr>
        <w:t>Long-</w:t>
      </w:r>
      <w:r w:rsidRPr="00C312DE">
        <w:rPr>
          <w:rFonts w:asciiTheme="majorHAnsi" w:eastAsia="Times New Roman" w:hAnsiTheme="majorHAnsi" w:cstheme="majorHAnsi"/>
          <w:sz w:val="23"/>
          <w:szCs w:val="23"/>
        </w:rPr>
        <w:t>COVID conditions in these same populations</w:t>
      </w:r>
      <w:r w:rsidR="009F1719">
        <w:rPr>
          <w:rFonts w:asciiTheme="majorHAnsi" w:eastAsia="Times New Roman" w:hAnsiTheme="majorHAnsi" w:cstheme="majorHAnsi"/>
          <w:sz w:val="23"/>
          <w:szCs w:val="23"/>
        </w:rPr>
        <w:t>.</w:t>
      </w:r>
      <w:r w:rsidRPr="00C312DE">
        <w:rPr>
          <w:rStyle w:val="FootnoteReference"/>
          <w:rFonts w:asciiTheme="majorHAnsi" w:eastAsia="Times New Roman" w:hAnsiTheme="majorHAnsi" w:cstheme="majorHAnsi"/>
          <w:sz w:val="23"/>
          <w:szCs w:val="23"/>
        </w:rPr>
        <w:footnoteReference w:id="3"/>
      </w:r>
    </w:p>
    <w:p w14:paraId="38F7AAC4" w14:textId="4E8831AC" w:rsidR="00F26539" w:rsidRPr="00C312DE" w:rsidRDefault="002F15D4" w:rsidP="00F26539">
      <w:pPr>
        <w:pStyle w:val="ListParagraph"/>
        <w:numPr>
          <w:ilvl w:val="0"/>
          <w:numId w:val="2"/>
        </w:numPr>
        <w:spacing w:before="100" w:beforeAutospacing="1" w:after="100" w:afterAutospacing="1" w:line="240" w:lineRule="auto"/>
        <w:rPr>
          <w:rFonts w:asciiTheme="majorHAnsi" w:eastAsia="Times New Roman" w:hAnsiTheme="majorHAnsi" w:cstheme="majorHAnsi"/>
          <w:sz w:val="23"/>
          <w:szCs w:val="23"/>
        </w:rPr>
      </w:pPr>
      <w:bookmarkStart w:id="1" w:name="_Hlk84944965"/>
      <w:bookmarkStart w:id="2" w:name="_Hlk84945383"/>
      <w:r>
        <w:rPr>
          <w:rFonts w:asciiTheme="majorHAnsi" w:eastAsia="Times New Roman" w:hAnsiTheme="majorHAnsi" w:cstheme="majorHAnsi"/>
          <w:sz w:val="23"/>
          <w:szCs w:val="23"/>
        </w:rPr>
        <w:t xml:space="preserve">Due to higher burden of COVID-19 infections in communities of color, measuring and tracking race data for infections, testing, and vaccinations is an important strategy in creating more equitable outcomes. </w:t>
      </w:r>
    </w:p>
    <w:bookmarkEnd w:id="1"/>
    <w:bookmarkEnd w:id="2"/>
    <w:p w14:paraId="70DF861B" w14:textId="5E471E65" w:rsidR="004958C4" w:rsidRPr="00C312DE" w:rsidRDefault="004958C4" w:rsidP="004958C4">
      <w:pPr>
        <w:pStyle w:val="ListParagraph"/>
        <w:numPr>
          <w:ilvl w:val="0"/>
          <w:numId w:val="2"/>
        </w:numPr>
        <w:spacing w:before="100" w:beforeAutospacing="1" w:after="100" w:afterAutospacing="1" w:line="240" w:lineRule="auto"/>
        <w:rPr>
          <w:rFonts w:asciiTheme="majorHAnsi" w:eastAsia="Times New Roman" w:hAnsiTheme="majorHAnsi" w:cstheme="majorHAnsi"/>
          <w:sz w:val="23"/>
          <w:szCs w:val="23"/>
        </w:rPr>
      </w:pPr>
      <w:r w:rsidRPr="00C312DE">
        <w:rPr>
          <w:rFonts w:asciiTheme="majorHAnsi" w:eastAsia="Times New Roman" w:hAnsiTheme="majorHAnsi" w:cstheme="majorHAnsi"/>
          <w:sz w:val="23"/>
          <w:szCs w:val="23"/>
        </w:rPr>
        <w:t xml:space="preserve">Utilize shared decision making to empower </w:t>
      </w:r>
      <w:r w:rsidR="00BD48E6">
        <w:rPr>
          <w:rFonts w:asciiTheme="majorHAnsi" w:eastAsia="Times New Roman" w:hAnsiTheme="majorHAnsi" w:cstheme="majorHAnsi"/>
          <w:sz w:val="23"/>
          <w:szCs w:val="23"/>
        </w:rPr>
        <w:t>clients</w:t>
      </w:r>
      <w:r w:rsidRPr="00C312DE">
        <w:rPr>
          <w:rFonts w:asciiTheme="majorHAnsi" w:eastAsia="Times New Roman" w:hAnsiTheme="majorHAnsi" w:cstheme="majorHAnsi"/>
          <w:sz w:val="23"/>
          <w:szCs w:val="23"/>
        </w:rPr>
        <w:t xml:space="preserve"> and build engagement in their care.</w:t>
      </w:r>
    </w:p>
    <w:p w14:paraId="4A28BC2F" w14:textId="6A8E9108" w:rsidR="004958C4" w:rsidRPr="00C312DE" w:rsidRDefault="00F26539" w:rsidP="004958C4">
      <w:pPr>
        <w:pStyle w:val="ListParagraph"/>
        <w:numPr>
          <w:ilvl w:val="0"/>
          <w:numId w:val="2"/>
        </w:numPr>
        <w:spacing w:before="100" w:beforeAutospacing="1" w:after="100" w:afterAutospacing="1" w:line="240" w:lineRule="auto"/>
        <w:rPr>
          <w:rFonts w:asciiTheme="majorHAnsi" w:eastAsia="Times New Roman" w:hAnsiTheme="majorHAnsi" w:cstheme="majorHAnsi"/>
          <w:sz w:val="23"/>
          <w:szCs w:val="23"/>
        </w:rPr>
      </w:pPr>
      <w:r w:rsidRPr="00C312DE">
        <w:rPr>
          <w:rFonts w:asciiTheme="majorHAnsi" w:eastAsia="Times New Roman" w:hAnsiTheme="majorHAnsi" w:cstheme="majorHAnsi"/>
          <w:sz w:val="23"/>
          <w:szCs w:val="23"/>
        </w:rPr>
        <w:t>Identify and focus</w:t>
      </w:r>
      <w:r w:rsidR="004958C4" w:rsidRPr="00C312DE">
        <w:rPr>
          <w:rFonts w:asciiTheme="majorHAnsi" w:eastAsia="Times New Roman" w:hAnsiTheme="majorHAnsi" w:cstheme="majorHAnsi"/>
          <w:sz w:val="23"/>
          <w:szCs w:val="23"/>
        </w:rPr>
        <w:t xml:space="preserve"> on the client’s priorities for treating symptoms. Do not assume which symptoms are most problematic or what treatment modalities they </w:t>
      </w:r>
      <w:r w:rsidR="00FE6014">
        <w:rPr>
          <w:rFonts w:asciiTheme="majorHAnsi" w:eastAsia="Times New Roman" w:hAnsiTheme="majorHAnsi" w:cstheme="majorHAnsi"/>
          <w:sz w:val="23"/>
          <w:szCs w:val="23"/>
        </w:rPr>
        <w:t>prefer.</w:t>
      </w:r>
    </w:p>
    <w:p w14:paraId="17C83304" w14:textId="7957B499" w:rsidR="004958C4" w:rsidRPr="00C312DE" w:rsidRDefault="004958C4" w:rsidP="004958C4">
      <w:pPr>
        <w:pStyle w:val="ListParagraph"/>
        <w:numPr>
          <w:ilvl w:val="0"/>
          <w:numId w:val="2"/>
        </w:numPr>
        <w:spacing w:before="100" w:beforeAutospacing="1" w:after="100" w:afterAutospacing="1" w:line="240" w:lineRule="auto"/>
        <w:rPr>
          <w:rFonts w:asciiTheme="majorHAnsi" w:eastAsia="Times New Roman" w:hAnsiTheme="majorHAnsi" w:cstheme="majorHAnsi"/>
          <w:sz w:val="23"/>
          <w:szCs w:val="23"/>
        </w:rPr>
      </w:pPr>
      <w:r w:rsidRPr="00C312DE">
        <w:rPr>
          <w:rFonts w:asciiTheme="majorHAnsi" w:eastAsia="Times New Roman" w:hAnsiTheme="majorHAnsi" w:cstheme="majorHAnsi"/>
          <w:sz w:val="23"/>
          <w:szCs w:val="23"/>
        </w:rPr>
        <w:t>Prepare for lengthy times between visit</w:t>
      </w:r>
      <w:r w:rsidR="00BB7AF8">
        <w:rPr>
          <w:rFonts w:asciiTheme="majorHAnsi" w:eastAsia="Times New Roman" w:hAnsiTheme="majorHAnsi" w:cstheme="majorHAnsi"/>
          <w:sz w:val="23"/>
          <w:szCs w:val="23"/>
        </w:rPr>
        <w:t>s</w:t>
      </w:r>
      <w:r w:rsidRPr="00C312DE">
        <w:rPr>
          <w:rFonts w:asciiTheme="majorHAnsi" w:eastAsia="Times New Roman" w:hAnsiTheme="majorHAnsi" w:cstheme="majorHAnsi"/>
          <w:sz w:val="23"/>
          <w:szCs w:val="23"/>
        </w:rPr>
        <w:t xml:space="preserve"> by providing anticipatory guidance for the evolution of symptoms</w:t>
      </w:r>
      <w:r w:rsidR="00BB7AF8">
        <w:rPr>
          <w:rFonts w:asciiTheme="majorHAnsi" w:eastAsia="Times New Roman" w:hAnsiTheme="majorHAnsi" w:cstheme="majorHAnsi"/>
          <w:sz w:val="23"/>
          <w:szCs w:val="23"/>
        </w:rPr>
        <w:t>,</w:t>
      </w:r>
      <w:r w:rsidRPr="00C312DE">
        <w:rPr>
          <w:rFonts w:asciiTheme="majorHAnsi" w:eastAsia="Times New Roman" w:hAnsiTheme="majorHAnsi" w:cstheme="majorHAnsi"/>
          <w:sz w:val="23"/>
          <w:szCs w:val="23"/>
        </w:rPr>
        <w:t xml:space="preserve"> and how and when to report changes.</w:t>
      </w:r>
    </w:p>
    <w:p w14:paraId="7659CF0E" w14:textId="41B18157" w:rsidR="004958C4" w:rsidRPr="00C312DE" w:rsidRDefault="00DF777A" w:rsidP="004958C4">
      <w:pPr>
        <w:spacing w:before="100" w:beforeAutospacing="1" w:after="100" w:afterAutospacing="1"/>
        <w:rPr>
          <w:rFonts w:ascii="Century Gothic" w:eastAsia="Times New Roman" w:hAnsi="Century Gothic" w:cs="Times New Roman"/>
          <w:b/>
          <w:bCs/>
          <w:color w:val="01594B"/>
          <w:sz w:val="23"/>
          <w:szCs w:val="23"/>
          <w:u w:val="single"/>
        </w:rPr>
      </w:pPr>
      <w:hyperlink r:id="rId18" w:history="1">
        <w:r w:rsidR="004958C4" w:rsidRPr="00C312DE">
          <w:rPr>
            <w:rFonts w:ascii="Century Gothic" w:eastAsia="Times New Roman" w:hAnsi="Century Gothic" w:cs="Times New Roman"/>
            <w:b/>
            <w:bCs/>
            <w:color w:val="01594B"/>
            <w:sz w:val="23"/>
            <w:szCs w:val="23"/>
            <w:u w:val="single"/>
          </w:rPr>
          <w:t xml:space="preserve">Public Health </w:t>
        </w:r>
        <w:r w:rsidR="00BB7AF8">
          <w:rPr>
            <w:rFonts w:ascii="Century Gothic" w:eastAsia="Times New Roman" w:hAnsi="Century Gothic" w:cs="Times New Roman"/>
            <w:b/>
            <w:bCs/>
            <w:color w:val="01594B"/>
            <w:sz w:val="23"/>
            <w:szCs w:val="23"/>
            <w:u w:val="single"/>
          </w:rPr>
          <w:t xml:space="preserve">and Policy </w:t>
        </w:r>
        <w:r w:rsidR="004958C4" w:rsidRPr="00C312DE">
          <w:rPr>
            <w:rFonts w:ascii="Century Gothic" w:eastAsia="Times New Roman" w:hAnsi="Century Gothic" w:cs="Times New Roman"/>
            <w:b/>
            <w:bCs/>
            <w:color w:val="01594B"/>
            <w:sz w:val="23"/>
            <w:szCs w:val="23"/>
            <w:u w:val="single"/>
          </w:rPr>
          <w:t>Recommendations</w:t>
        </w:r>
      </w:hyperlink>
    </w:p>
    <w:p w14:paraId="6E694B89" w14:textId="055FA531" w:rsidR="004958C4" w:rsidRPr="00C312DE" w:rsidRDefault="004958C4" w:rsidP="004958C4">
      <w:pPr>
        <w:spacing w:before="100" w:beforeAutospacing="1" w:after="100" w:afterAutospacing="1"/>
        <w:rPr>
          <w:rFonts w:asciiTheme="majorHAnsi" w:eastAsia="Times New Roman" w:hAnsiTheme="majorHAnsi" w:cstheme="majorHAnsi"/>
          <w:sz w:val="23"/>
          <w:szCs w:val="23"/>
        </w:rPr>
      </w:pPr>
      <w:r w:rsidRPr="00C312DE">
        <w:rPr>
          <w:rFonts w:asciiTheme="majorHAnsi" w:eastAsia="Times New Roman" w:hAnsiTheme="majorHAnsi" w:cstheme="majorHAnsi"/>
          <w:sz w:val="23"/>
          <w:szCs w:val="23"/>
        </w:rPr>
        <w:t>Congregate living and unstable housing do not allow for individuals to fully treat and recover from the symptoms of Long</w:t>
      </w:r>
      <w:r w:rsidR="00BD48E6">
        <w:rPr>
          <w:rFonts w:asciiTheme="majorHAnsi" w:eastAsia="Times New Roman" w:hAnsiTheme="majorHAnsi" w:cstheme="majorHAnsi"/>
          <w:sz w:val="23"/>
          <w:szCs w:val="23"/>
        </w:rPr>
        <w:t>-</w:t>
      </w:r>
      <w:r w:rsidRPr="00C312DE">
        <w:rPr>
          <w:rFonts w:asciiTheme="majorHAnsi" w:eastAsia="Times New Roman" w:hAnsiTheme="majorHAnsi" w:cstheme="majorHAnsi"/>
          <w:sz w:val="23"/>
          <w:szCs w:val="23"/>
        </w:rPr>
        <w:t>COVID. To provide adequate opportunities to recover, communities should:</w:t>
      </w:r>
    </w:p>
    <w:p w14:paraId="5883C5EC" w14:textId="5D6C04A0" w:rsidR="004958C4" w:rsidRDefault="004958C4" w:rsidP="29A5EAFA">
      <w:pPr>
        <w:pStyle w:val="ListParagraph"/>
        <w:numPr>
          <w:ilvl w:val="0"/>
          <w:numId w:val="3"/>
        </w:numPr>
        <w:spacing w:before="100" w:beforeAutospacing="1" w:after="100" w:afterAutospacing="1" w:line="240" w:lineRule="auto"/>
        <w:rPr>
          <w:rFonts w:asciiTheme="majorHAnsi" w:eastAsia="Times New Roman" w:hAnsiTheme="majorHAnsi" w:cstheme="majorHAnsi"/>
          <w:sz w:val="23"/>
          <w:szCs w:val="23"/>
        </w:rPr>
      </w:pPr>
      <w:r w:rsidRPr="00C312DE">
        <w:rPr>
          <w:rFonts w:asciiTheme="majorHAnsi" w:eastAsia="Times New Roman" w:hAnsiTheme="majorHAnsi" w:cstheme="majorHAnsi"/>
          <w:sz w:val="23"/>
          <w:szCs w:val="23"/>
        </w:rPr>
        <w:t>Provide permanent housing with support</w:t>
      </w:r>
      <w:r w:rsidR="00F26539" w:rsidRPr="00C312DE">
        <w:rPr>
          <w:rFonts w:asciiTheme="majorHAnsi" w:eastAsia="Times New Roman" w:hAnsiTheme="majorHAnsi" w:cstheme="majorHAnsi"/>
          <w:sz w:val="23"/>
          <w:szCs w:val="23"/>
        </w:rPr>
        <w:t xml:space="preserve">ive services </w:t>
      </w:r>
      <w:r w:rsidR="7D9D0FBC" w:rsidRPr="00C312DE">
        <w:rPr>
          <w:rFonts w:asciiTheme="majorHAnsi" w:eastAsia="Times New Roman" w:hAnsiTheme="majorHAnsi" w:cstheme="majorHAnsi"/>
          <w:sz w:val="23"/>
          <w:szCs w:val="23"/>
        </w:rPr>
        <w:t xml:space="preserve">(where needed) </w:t>
      </w:r>
      <w:r w:rsidRPr="00C312DE">
        <w:rPr>
          <w:rFonts w:asciiTheme="majorHAnsi" w:eastAsia="Times New Roman" w:hAnsiTheme="majorHAnsi" w:cstheme="majorHAnsi"/>
          <w:sz w:val="23"/>
          <w:szCs w:val="23"/>
        </w:rPr>
        <w:t>to all people experiencing homelessness and at least those living with Long</w:t>
      </w:r>
      <w:r w:rsidR="00BD48E6">
        <w:rPr>
          <w:rFonts w:asciiTheme="majorHAnsi" w:eastAsia="Times New Roman" w:hAnsiTheme="majorHAnsi" w:cstheme="majorHAnsi"/>
          <w:sz w:val="23"/>
          <w:szCs w:val="23"/>
        </w:rPr>
        <w:t>-</w:t>
      </w:r>
      <w:r w:rsidRPr="00C312DE">
        <w:rPr>
          <w:rFonts w:asciiTheme="majorHAnsi" w:eastAsia="Times New Roman" w:hAnsiTheme="majorHAnsi" w:cstheme="majorHAnsi"/>
          <w:sz w:val="23"/>
          <w:szCs w:val="23"/>
        </w:rPr>
        <w:t>COVID.</w:t>
      </w:r>
    </w:p>
    <w:p w14:paraId="744D4F08" w14:textId="3734B154" w:rsidR="00BB7AF8" w:rsidRPr="00C312DE" w:rsidRDefault="00BB7AF8" w:rsidP="29A5EAFA">
      <w:pPr>
        <w:pStyle w:val="ListParagraph"/>
        <w:numPr>
          <w:ilvl w:val="0"/>
          <w:numId w:val="3"/>
        </w:numPr>
        <w:spacing w:before="100" w:beforeAutospacing="1" w:after="100" w:afterAutospacing="1" w:line="240" w:lineRule="auto"/>
        <w:rPr>
          <w:rFonts w:asciiTheme="majorHAnsi" w:eastAsia="Times New Roman" w:hAnsiTheme="majorHAnsi" w:cstheme="majorHAnsi"/>
          <w:sz w:val="23"/>
          <w:szCs w:val="23"/>
        </w:rPr>
      </w:pPr>
      <w:r>
        <w:rPr>
          <w:rFonts w:asciiTheme="majorHAnsi" w:eastAsia="Times New Roman" w:hAnsiTheme="majorHAnsi" w:cstheme="majorHAnsi"/>
          <w:sz w:val="23"/>
          <w:szCs w:val="23"/>
        </w:rPr>
        <w:t>Ensure client enrollment in comprehensive insurance coverage to facilitate connections to specialty care and other services as needed.</w:t>
      </w:r>
    </w:p>
    <w:p w14:paraId="524CD203" w14:textId="06AB2D41" w:rsidR="004958C4" w:rsidRPr="00C312DE" w:rsidRDefault="004958C4" w:rsidP="004958C4">
      <w:pPr>
        <w:pStyle w:val="ListParagraph"/>
        <w:numPr>
          <w:ilvl w:val="0"/>
          <w:numId w:val="3"/>
        </w:numPr>
        <w:spacing w:before="100" w:beforeAutospacing="1" w:after="100" w:afterAutospacing="1" w:line="240" w:lineRule="auto"/>
        <w:rPr>
          <w:rFonts w:asciiTheme="majorHAnsi" w:eastAsia="Times New Roman" w:hAnsiTheme="majorHAnsi" w:cstheme="majorHAnsi"/>
          <w:sz w:val="23"/>
          <w:szCs w:val="23"/>
        </w:rPr>
      </w:pPr>
      <w:r w:rsidRPr="00C312DE">
        <w:rPr>
          <w:rFonts w:asciiTheme="majorHAnsi" w:eastAsia="Times New Roman" w:hAnsiTheme="majorHAnsi" w:cstheme="majorHAnsi"/>
          <w:sz w:val="23"/>
          <w:szCs w:val="23"/>
        </w:rPr>
        <w:t xml:space="preserve">Offer </w:t>
      </w:r>
      <w:hyperlink r:id="rId19" w:history="1">
        <w:r w:rsidRPr="00BB7AF8">
          <w:rPr>
            <w:rStyle w:val="Hyperlink"/>
            <w:rFonts w:asciiTheme="majorHAnsi" w:eastAsia="Times New Roman" w:hAnsiTheme="majorHAnsi" w:cstheme="majorHAnsi"/>
            <w:sz w:val="23"/>
            <w:szCs w:val="23"/>
          </w:rPr>
          <w:t>alternate care sites</w:t>
        </w:r>
      </w:hyperlink>
      <w:r w:rsidRPr="00C312DE">
        <w:rPr>
          <w:rFonts w:asciiTheme="majorHAnsi" w:eastAsia="Times New Roman" w:hAnsiTheme="majorHAnsi" w:cstheme="majorHAnsi"/>
          <w:sz w:val="23"/>
          <w:szCs w:val="23"/>
        </w:rPr>
        <w:t xml:space="preserve"> that are non-congregate and allow for adherence to public health recommendations to treat and recover from Long</w:t>
      </w:r>
      <w:r w:rsidR="00BD48E6">
        <w:rPr>
          <w:rFonts w:asciiTheme="majorHAnsi" w:eastAsia="Times New Roman" w:hAnsiTheme="majorHAnsi" w:cstheme="majorHAnsi"/>
          <w:sz w:val="23"/>
          <w:szCs w:val="23"/>
        </w:rPr>
        <w:t>-</w:t>
      </w:r>
      <w:r w:rsidRPr="00C312DE">
        <w:rPr>
          <w:rFonts w:asciiTheme="majorHAnsi" w:eastAsia="Times New Roman" w:hAnsiTheme="majorHAnsi" w:cstheme="majorHAnsi"/>
          <w:sz w:val="23"/>
          <w:szCs w:val="23"/>
        </w:rPr>
        <w:t>COVID while awaiting permanent housing.</w:t>
      </w:r>
    </w:p>
    <w:p w14:paraId="6821B0C7" w14:textId="3C8A537D" w:rsidR="004958C4" w:rsidRPr="00C312DE" w:rsidRDefault="004958C4" w:rsidP="29A5EAFA">
      <w:pPr>
        <w:pStyle w:val="ListParagraph"/>
        <w:numPr>
          <w:ilvl w:val="0"/>
          <w:numId w:val="3"/>
        </w:numPr>
        <w:spacing w:before="100" w:beforeAutospacing="1" w:after="100" w:afterAutospacing="1" w:line="240" w:lineRule="auto"/>
        <w:rPr>
          <w:rFonts w:asciiTheme="majorHAnsi" w:eastAsia="Times New Roman" w:hAnsiTheme="majorHAnsi" w:cstheme="majorHAnsi"/>
          <w:sz w:val="23"/>
          <w:szCs w:val="23"/>
        </w:rPr>
      </w:pPr>
      <w:r w:rsidRPr="00C312DE">
        <w:rPr>
          <w:rFonts w:asciiTheme="majorHAnsi" w:eastAsia="Times New Roman" w:hAnsiTheme="majorHAnsi" w:cstheme="majorHAnsi"/>
          <w:sz w:val="23"/>
          <w:szCs w:val="23"/>
        </w:rPr>
        <w:t xml:space="preserve">Expand </w:t>
      </w:r>
      <w:r w:rsidR="00BB7AF8">
        <w:rPr>
          <w:rFonts w:asciiTheme="majorHAnsi" w:eastAsia="Times New Roman" w:hAnsiTheme="majorHAnsi" w:cstheme="majorHAnsi"/>
          <w:sz w:val="23"/>
          <w:szCs w:val="23"/>
        </w:rPr>
        <w:t>m</w:t>
      </w:r>
      <w:r w:rsidRPr="00C312DE">
        <w:rPr>
          <w:rFonts w:asciiTheme="majorHAnsi" w:eastAsia="Times New Roman" w:hAnsiTheme="majorHAnsi" w:cstheme="majorHAnsi"/>
          <w:sz w:val="23"/>
          <w:szCs w:val="23"/>
        </w:rPr>
        <w:t xml:space="preserve">edical </w:t>
      </w:r>
      <w:r w:rsidR="00BB7AF8">
        <w:rPr>
          <w:rFonts w:asciiTheme="majorHAnsi" w:eastAsia="Times New Roman" w:hAnsiTheme="majorHAnsi" w:cstheme="majorHAnsi"/>
          <w:sz w:val="23"/>
          <w:szCs w:val="23"/>
        </w:rPr>
        <w:t>r</w:t>
      </w:r>
      <w:r w:rsidRPr="00C312DE">
        <w:rPr>
          <w:rFonts w:asciiTheme="majorHAnsi" w:eastAsia="Times New Roman" w:hAnsiTheme="majorHAnsi" w:cstheme="majorHAnsi"/>
          <w:sz w:val="23"/>
          <w:szCs w:val="23"/>
        </w:rPr>
        <w:t xml:space="preserve">espite </w:t>
      </w:r>
      <w:r w:rsidR="00BB7AF8">
        <w:rPr>
          <w:rFonts w:asciiTheme="majorHAnsi" w:eastAsia="Times New Roman" w:hAnsiTheme="majorHAnsi" w:cstheme="majorHAnsi"/>
          <w:sz w:val="23"/>
          <w:szCs w:val="23"/>
        </w:rPr>
        <w:t xml:space="preserve">care programs </w:t>
      </w:r>
      <w:r w:rsidRPr="00C312DE">
        <w:rPr>
          <w:rFonts w:asciiTheme="majorHAnsi" w:eastAsia="Times New Roman" w:hAnsiTheme="majorHAnsi" w:cstheme="majorHAnsi"/>
          <w:sz w:val="23"/>
          <w:szCs w:val="23"/>
        </w:rPr>
        <w:t xml:space="preserve">for acute medical </w:t>
      </w:r>
      <w:r w:rsidR="00BB7AF8">
        <w:rPr>
          <w:rFonts w:asciiTheme="majorHAnsi" w:eastAsia="Times New Roman" w:hAnsiTheme="majorHAnsi" w:cstheme="majorHAnsi"/>
          <w:sz w:val="23"/>
          <w:szCs w:val="23"/>
        </w:rPr>
        <w:t xml:space="preserve">and supportive service </w:t>
      </w:r>
      <w:r w:rsidRPr="00C312DE">
        <w:rPr>
          <w:rFonts w:asciiTheme="majorHAnsi" w:eastAsia="Times New Roman" w:hAnsiTheme="majorHAnsi" w:cstheme="majorHAnsi"/>
          <w:sz w:val="23"/>
          <w:szCs w:val="23"/>
        </w:rPr>
        <w:t>needs.</w:t>
      </w:r>
    </w:p>
    <w:p w14:paraId="49F00A21" w14:textId="5AEA19B3" w:rsidR="000647F9" w:rsidRDefault="004958C4" w:rsidP="00BD48E6">
      <w:pPr>
        <w:pStyle w:val="ListParagraph"/>
        <w:numPr>
          <w:ilvl w:val="0"/>
          <w:numId w:val="3"/>
        </w:numPr>
        <w:spacing w:before="100" w:beforeAutospacing="1" w:after="100" w:afterAutospacing="1" w:line="240" w:lineRule="auto"/>
        <w:rPr>
          <w:rFonts w:asciiTheme="majorHAnsi" w:eastAsia="Times New Roman" w:hAnsiTheme="majorHAnsi" w:cstheme="majorHAnsi"/>
          <w:sz w:val="23"/>
          <w:szCs w:val="23"/>
        </w:rPr>
      </w:pPr>
      <w:r w:rsidRPr="00C312DE">
        <w:rPr>
          <w:rFonts w:asciiTheme="majorHAnsi" w:eastAsia="Times New Roman" w:hAnsiTheme="majorHAnsi" w:cstheme="majorHAnsi"/>
          <w:sz w:val="23"/>
          <w:szCs w:val="23"/>
        </w:rPr>
        <w:t xml:space="preserve">Integrate health care within </w:t>
      </w:r>
      <w:r w:rsidR="00BD48E6">
        <w:rPr>
          <w:rFonts w:asciiTheme="majorHAnsi" w:eastAsia="Times New Roman" w:hAnsiTheme="majorHAnsi" w:cstheme="majorHAnsi"/>
          <w:sz w:val="23"/>
          <w:szCs w:val="23"/>
        </w:rPr>
        <w:t xml:space="preserve">the </w:t>
      </w:r>
      <w:r w:rsidR="00F26539" w:rsidRPr="00C312DE">
        <w:rPr>
          <w:rFonts w:asciiTheme="majorHAnsi" w:eastAsia="Times New Roman" w:hAnsiTheme="majorHAnsi" w:cstheme="majorHAnsi"/>
          <w:sz w:val="23"/>
          <w:szCs w:val="23"/>
        </w:rPr>
        <w:t xml:space="preserve">state’s </w:t>
      </w:r>
      <w:r w:rsidRPr="00C312DE">
        <w:rPr>
          <w:rFonts w:asciiTheme="majorHAnsi" w:eastAsia="Times New Roman" w:hAnsiTheme="majorHAnsi" w:cstheme="majorHAnsi"/>
          <w:sz w:val="23"/>
          <w:szCs w:val="23"/>
        </w:rPr>
        <w:t xml:space="preserve">Continuum of Care, </w:t>
      </w:r>
      <w:r w:rsidR="6BFB4A91" w:rsidRPr="00C312DE">
        <w:rPr>
          <w:rFonts w:asciiTheme="majorHAnsi" w:eastAsia="Times New Roman" w:hAnsiTheme="majorHAnsi" w:cstheme="majorHAnsi"/>
          <w:sz w:val="23"/>
          <w:szCs w:val="23"/>
        </w:rPr>
        <w:t xml:space="preserve">as well as </w:t>
      </w:r>
      <w:r w:rsidRPr="00C312DE">
        <w:rPr>
          <w:rFonts w:asciiTheme="majorHAnsi" w:eastAsia="Times New Roman" w:hAnsiTheme="majorHAnsi" w:cstheme="majorHAnsi"/>
          <w:sz w:val="23"/>
          <w:szCs w:val="23"/>
        </w:rPr>
        <w:t>shelters and alternate care sites, to facilitate access to quality, comprehensive health care</w:t>
      </w:r>
      <w:r w:rsidR="000647F9" w:rsidRPr="00C312DE">
        <w:rPr>
          <w:rFonts w:asciiTheme="majorHAnsi" w:eastAsia="Times New Roman" w:hAnsiTheme="majorHAnsi" w:cstheme="majorHAnsi"/>
          <w:sz w:val="23"/>
          <w:szCs w:val="23"/>
        </w:rPr>
        <w:t>.</w:t>
      </w:r>
    </w:p>
    <w:p w14:paraId="7B3031B7" w14:textId="3D9220B2" w:rsidR="009C67B2" w:rsidRPr="00494E9C" w:rsidRDefault="00690F66" w:rsidP="00C312DE">
      <w:pPr>
        <w:pStyle w:val="ListParagraph"/>
        <w:numPr>
          <w:ilvl w:val="0"/>
          <w:numId w:val="3"/>
        </w:numPr>
        <w:spacing w:before="100" w:beforeAutospacing="1" w:after="100" w:afterAutospacing="1" w:line="240" w:lineRule="auto"/>
        <w:rPr>
          <w:rFonts w:asciiTheme="majorHAnsi" w:eastAsia="Times New Roman" w:hAnsiTheme="majorHAnsi" w:cstheme="majorHAnsi"/>
          <w:sz w:val="23"/>
          <w:szCs w:val="23"/>
        </w:rPr>
      </w:pPr>
      <w:r>
        <w:rPr>
          <w:rFonts w:asciiTheme="majorHAnsi" w:eastAsia="Times New Roman" w:hAnsiTheme="majorHAnsi" w:cstheme="majorHAnsi"/>
          <w:sz w:val="23"/>
          <w:szCs w:val="23"/>
        </w:rPr>
        <w:t xml:space="preserve">Apply for disability benefits (SSI/SSDI) using </w:t>
      </w:r>
      <w:hyperlink r:id="rId20" w:history="1">
        <w:r w:rsidRPr="00B01173">
          <w:rPr>
            <w:rStyle w:val="Hyperlink"/>
            <w:rFonts w:asciiTheme="majorHAnsi" w:eastAsia="Times New Roman" w:hAnsiTheme="majorHAnsi" w:cstheme="majorHAnsi"/>
            <w:sz w:val="23"/>
            <w:szCs w:val="23"/>
          </w:rPr>
          <w:t>new guidance</w:t>
        </w:r>
      </w:hyperlink>
      <w:r>
        <w:rPr>
          <w:rFonts w:asciiTheme="majorHAnsi" w:eastAsia="Times New Roman" w:hAnsiTheme="majorHAnsi" w:cstheme="majorHAnsi"/>
          <w:sz w:val="23"/>
          <w:szCs w:val="23"/>
        </w:rPr>
        <w:t xml:space="preserve"> on “</w:t>
      </w:r>
      <w:r w:rsidR="00BD48E6">
        <w:rPr>
          <w:rFonts w:asciiTheme="majorHAnsi" w:eastAsia="Times New Roman" w:hAnsiTheme="majorHAnsi" w:cstheme="majorHAnsi"/>
          <w:sz w:val="23"/>
          <w:szCs w:val="23"/>
        </w:rPr>
        <w:t>Long-</w:t>
      </w:r>
      <w:r>
        <w:rPr>
          <w:rFonts w:asciiTheme="majorHAnsi" w:eastAsia="Times New Roman" w:hAnsiTheme="majorHAnsi" w:cstheme="majorHAnsi"/>
          <w:sz w:val="23"/>
          <w:szCs w:val="23"/>
        </w:rPr>
        <w:t xml:space="preserve">COVID” as a disabling condition. </w:t>
      </w:r>
    </w:p>
    <w:sectPr w:rsidR="009C67B2" w:rsidRPr="00494E9C" w:rsidSect="00BD48E6">
      <w:type w:val="continuous"/>
      <w:pgSz w:w="12240" w:h="15840"/>
      <w:pgMar w:top="1440" w:right="1080" w:bottom="1440" w:left="1080" w:header="642" w:footer="3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45E16" w14:textId="77777777" w:rsidR="003852DA" w:rsidRDefault="003852DA" w:rsidP="0065071E">
      <w:r>
        <w:separator/>
      </w:r>
    </w:p>
  </w:endnote>
  <w:endnote w:type="continuationSeparator" w:id="0">
    <w:p w14:paraId="4888C529" w14:textId="77777777" w:rsidR="003852DA" w:rsidRDefault="003852DA" w:rsidP="00650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3992154"/>
      <w:docPartObj>
        <w:docPartGallery w:val="Page Numbers (Bottom of Page)"/>
        <w:docPartUnique/>
      </w:docPartObj>
    </w:sdtPr>
    <w:sdtEndPr>
      <w:rPr>
        <w:rStyle w:val="PageNumber"/>
      </w:rPr>
    </w:sdtEndPr>
    <w:sdtContent>
      <w:p w14:paraId="77563575" w14:textId="5E8B0A28" w:rsidR="005C4525" w:rsidRDefault="005C4525" w:rsidP="008D04B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B415DB" w14:textId="77777777" w:rsidR="005C4525" w:rsidRDefault="005C45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3939977"/>
      <w:docPartObj>
        <w:docPartGallery w:val="Page Numbers (Bottom of Page)"/>
        <w:docPartUnique/>
      </w:docPartObj>
    </w:sdtPr>
    <w:sdtEndPr>
      <w:rPr>
        <w:rStyle w:val="PageNumber"/>
      </w:rPr>
    </w:sdtEndPr>
    <w:sdtContent>
      <w:p w14:paraId="59EA3E95" w14:textId="5B53F841" w:rsidR="005C4525" w:rsidRDefault="005C4525" w:rsidP="008D04B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B7AF8">
          <w:rPr>
            <w:rStyle w:val="PageNumber"/>
            <w:noProof/>
          </w:rPr>
          <w:t>2</w:t>
        </w:r>
        <w:r>
          <w:rPr>
            <w:rStyle w:val="PageNumber"/>
          </w:rPr>
          <w:fldChar w:fldCharType="end"/>
        </w:r>
      </w:p>
    </w:sdtContent>
  </w:sdt>
  <w:p w14:paraId="19F813F3" w14:textId="7098E617" w:rsidR="00F84A03" w:rsidRPr="00101E20" w:rsidRDefault="009A18F9" w:rsidP="00F84A03">
    <w:pPr>
      <w:rPr>
        <w:rFonts w:ascii="Century Gothic" w:hAnsi="Century Gothic"/>
        <w:color w:val="80B1A8"/>
        <w:sz w:val="13"/>
        <w:szCs w:val="13"/>
      </w:rPr>
    </w:pPr>
    <w:r w:rsidRPr="00183968">
      <w:rPr>
        <w:rFonts w:ascii="Century Gothic" w:hAnsi="Century Gothic"/>
        <w:noProof/>
        <w:color w:val="80B1A8"/>
        <w:sz w:val="20"/>
        <w:szCs w:val="20"/>
      </w:rPr>
      <mc:AlternateContent>
        <mc:Choice Requires="wps">
          <w:drawing>
            <wp:anchor distT="0" distB="0" distL="114300" distR="114300" simplePos="0" relativeHeight="251671552" behindDoc="0" locked="0" layoutInCell="1" allowOverlap="1" wp14:anchorId="746A91A1" wp14:editId="296E985A">
              <wp:simplePos x="0" y="0"/>
              <wp:positionH relativeFrom="column">
                <wp:posOffset>-8890</wp:posOffset>
              </wp:positionH>
              <wp:positionV relativeFrom="paragraph">
                <wp:posOffset>-53607</wp:posOffset>
              </wp:positionV>
              <wp:extent cx="6400800" cy="0"/>
              <wp:effectExtent l="0" t="0" r="12700" b="12700"/>
              <wp:wrapNone/>
              <wp:docPr id="11" name="Straight Connector 11"/>
              <wp:cNvGraphicFramePr/>
              <a:graphic xmlns:a="http://schemas.openxmlformats.org/drawingml/2006/main">
                <a:graphicData uri="http://schemas.microsoft.com/office/word/2010/wordprocessingShape">
                  <wps:wsp>
                    <wps:cNvCnPr/>
                    <wps:spPr>
                      <a:xfrm>
                        <a:off x="0" y="0"/>
                        <a:ext cx="6400800" cy="0"/>
                      </a:xfrm>
                      <a:prstGeom prst="line">
                        <a:avLst/>
                      </a:prstGeom>
                      <a:ln w="12700">
                        <a:solidFill>
                          <a:srgbClr val="80B1A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BA121E" id="Straight Connector 11"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4.2pt" to="503.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" strokecolor="#80b1a8" strokeweight="1pt">
              <v:stroke joinstyle="miter"/>
            </v:line>
          </w:pict>
        </mc:Fallback>
      </mc:AlternateContent>
    </w:r>
    <w:r w:rsidR="00A874B0" w:rsidRPr="00183968">
      <w:rPr>
        <w:rFonts w:ascii="Century Gothic" w:hAnsi="Century Gothic"/>
        <w:color w:val="80B1A8"/>
        <w:sz w:val="20"/>
        <w:szCs w:val="20"/>
      </w:rPr>
      <w:t>www.</w:t>
    </w:r>
    <w:r w:rsidR="00203307" w:rsidRPr="00183968">
      <w:rPr>
        <w:rFonts w:ascii="Century Gothic" w:hAnsi="Century Gothic"/>
        <w:color w:val="80B1A8"/>
        <w:sz w:val="20"/>
        <w:szCs w:val="20"/>
      </w:rPr>
      <w:t>nhchc</w:t>
    </w:r>
    <w:r w:rsidR="00A874B0" w:rsidRPr="00183968">
      <w:rPr>
        <w:rFonts w:ascii="Century Gothic" w:hAnsi="Century Gothic"/>
        <w:color w:val="80B1A8"/>
        <w:sz w:val="20"/>
        <w:szCs w:val="20"/>
      </w:rPr>
      <w:t>.org</w:t>
    </w:r>
    <w:r w:rsidR="00A874B0" w:rsidRPr="009A18F9">
      <w:rPr>
        <w:rFonts w:ascii="Century Gothic" w:hAnsi="Century Gothic"/>
        <w:color w:val="005480"/>
        <w:sz w:val="20"/>
        <w:szCs w:val="20"/>
      </w:rPr>
      <w:tab/>
    </w:r>
    <w:r w:rsidR="004C0A23">
      <w:rPr>
        <w:rFonts w:ascii="Century Gothic" w:hAnsi="Century Gothic"/>
        <w:color w:val="005480"/>
        <w:sz w:val="20"/>
        <w:szCs w:val="20"/>
      </w:rPr>
      <w:tab/>
      <w:t xml:space="preserve">        </w:t>
    </w:r>
    <w:r w:rsidR="004C27E3">
      <w:rPr>
        <w:rFonts w:ascii="Century Gothic" w:hAnsi="Century Gothic"/>
        <w:color w:val="005480"/>
        <w:sz w:val="20"/>
        <w:szCs w:val="20"/>
      </w:rPr>
      <w:t xml:space="preserve">            </w:t>
    </w:r>
    <w:r w:rsidR="004C0A23">
      <w:rPr>
        <w:rFonts w:ascii="Century Gothic" w:hAnsi="Century Gothic"/>
        <w:color w:val="005480"/>
        <w:sz w:val="20"/>
        <w:szCs w:val="20"/>
      </w:rPr>
      <w:t xml:space="preserve"> </w:t>
    </w:r>
    <w:r w:rsidR="00F84A03">
      <w:rPr>
        <w:rFonts w:ascii="Century Gothic" w:hAnsi="Century Gothic"/>
        <w:color w:val="005480"/>
        <w:sz w:val="20"/>
        <w:szCs w:val="20"/>
      </w:rPr>
      <w:t xml:space="preserve"> </w:t>
    </w:r>
    <w:r w:rsidR="00F84A03">
      <w:rPr>
        <w:rFonts w:ascii="Century Gothic" w:hAnsi="Century Gothic"/>
        <w:color w:val="005480"/>
        <w:sz w:val="20"/>
        <w:szCs w:val="20"/>
      </w:rPr>
      <w:tab/>
    </w:r>
    <w:r w:rsidR="00F84A03">
      <w:rPr>
        <w:rFonts w:ascii="Century Gothic" w:hAnsi="Century Gothic"/>
        <w:color w:val="005480"/>
        <w:sz w:val="20"/>
        <w:szCs w:val="20"/>
      </w:rPr>
      <w:tab/>
      <w:t xml:space="preserve">    </w:t>
    </w:r>
    <w:r w:rsidR="00101E20">
      <w:rPr>
        <w:rFonts w:ascii="Century Gothic" w:hAnsi="Century Gothic"/>
        <w:color w:val="005480"/>
        <w:sz w:val="20"/>
        <w:szCs w:val="20"/>
      </w:rPr>
      <w:t xml:space="preserve">       </w:t>
    </w:r>
  </w:p>
  <w:p w14:paraId="6994AA51" w14:textId="5D220547" w:rsidR="004C0A23" w:rsidRPr="004C0A23" w:rsidRDefault="004C0A23" w:rsidP="004C0A23">
    <w:pPr>
      <w:rPr>
        <w:rFonts w:ascii="Century Gothic" w:hAnsi="Century Gothic"/>
        <w:color w:val="80B1A8"/>
        <w:sz w:val="20"/>
        <w:szCs w:val="20"/>
      </w:rPr>
    </w:pPr>
  </w:p>
  <w:p w14:paraId="63BAA005" w14:textId="0756CFD4" w:rsidR="005C4525" w:rsidRPr="009A18F9" w:rsidRDefault="00A874B0">
    <w:pPr>
      <w:pStyle w:val="Footer"/>
      <w:rPr>
        <w:rFonts w:ascii="Century Gothic" w:hAnsi="Century Gothic"/>
        <w:color w:val="005480"/>
        <w:sz w:val="20"/>
        <w:szCs w:val="20"/>
      </w:rPr>
    </w:pPr>
    <w:r w:rsidRPr="009A18F9">
      <w:rPr>
        <w:rFonts w:ascii="Century Gothic" w:hAnsi="Century Gothic"/>
        <w:color w:val="005480"/>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21318" w14:textId="77777777" w:rsidR="00F43FFA" w:rsidRDefault="00F43FFA" w:rsidP="00D26E9B">
    <w:pPr>
      <w:pStyle w:val="Footer"/>
      <w:rPr>
        <w:rFonts w:ascii="Century Gothic" w:hAnsi="Century Gothic"/>
        <w:color w:val="005480"/>
        <w:sz w:val="20"/>
        <w:szCs w:val="20"/>
      </w:rPr>
    </w:pPr>
    <w:r>
      <w:rPr>
        <w:rFonts w:ascii="Century Gothic" w:hAnsi="Century Gothic"/>
        <w:noProof/>
        <w:color w:val="005480"/>
        <w:sz w:val="20"/>
        <w:szCs w:val="20"/>
      </w:rPr>
      <mc:AlternateContent>
        <mc:Choice Requires="wps">
          <w:drawing>
            <wp:anchor distT="0" distB="0" distL="114300" distR="114300" simplePos="0" relativeHeight="251666432" behindDoc="0" locked="0" layoutInCell="1" allowOverlap="1" wp14:anchorId="243FDB17" wp14:editId="68072E11">
              <wp:simplePos x="0" y="0"/>
              <wp:positionH relativeFrom="column">
                <wp:posOffset>7620</wp:posOffset>
              </wp:positionH>
              <wp:positionV relativeFrom="paragraph">
                <wp:posOffset>112636</wp:posOffset>
              </wp:positionV>
              <wp:extent cx="6419718" cy="0"/>
              <wp:effectExtent l="0" t="0" r="6985" b="12700"/>
              <wp:wrapNone/>
              <wp:docPr id="5" name="Straight Connector 5"/>
              <wp:cNvGraphicFramePr/>
              <a:graphic xmlns:a="http://schemas.openxmlformats.org/drawingml/2006/main">
                <a:graphicData uri="http://schemas.microsoft.com/office/word/2010/wordprocessingShape">
                  <wps:wsp>
                    <wps:cNvCnPr/>
                    <wps:spPr>
                      <a:xfrm>
                        <a:off x="0" y="0"/>
                        <a:ext cx="6419718" cy="0"/>
                      </a:xfrm>
                      <a:prstGeom prst="line">
                        <a:avLst/>
                      </a:prstGeom>
                      <a:ln w="12700">
                        <a:solidFill>
                          <a:srgbClr val="80B1A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CDDA03"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8.85pt" to="506.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" strokecolor="#80b1a8" strokeweight="1pt">
              <v:stroke joinstyle="miter"/>
            </v:line>
          </w:pict>
        </mc:Fallback>
      </mc:AlternateContent>
    </w:r>
  </w:p>
  <w:p w14:paraId="1A4355D0" w14:textId="38317925" w:rsidR="00F43FFA" w:rsidRPr="00183968" w:rsidRDefault="00F43FFA" w:rsidP="00D33F18">
    <w:pPr>
      <w:pStyle w:val="Footer"/>
      <w:rPr>
        <w:rFonts w:ascii="Century Gothic" w:hAnsi="Century Gothic"/>
        <w:color w:val="80B1A8"/>
        <w:sz w:val="20"/>
        <w:szCs w:val="20"/>
      </w:rPr>
    </w:pPr>
    <w:r w:rsidRPr="00183968">
      <w:rPr>
        <w:rFonts w:ascii="Century Gothic" w:hAnsi="Century Gothic"/>
        <w:color w:val="80B1A8"/>
        <w:sz w:val="20"/>
        <w:szCs w:val="20"/>
      </w:rPr>
      <w:t>www.</w:t>
    </w:r>
    <w:r w:rsidR="00603B25" w:rsidRPr="00183968">
      <w:rPr>
        <w:rFonts w:ascii="Century Gothic" w:hAnsi="Century Gothic"/>
        <w:color w:val="80B1A8"/>
        <w:sz w:val="20"/>
        <w:szCs w:val="20"/>
      </w:rPr>
      <w:t>nhchc</w:t>
    </w:r>
    <w:r w:rsidRPr="00183968">
      <w:rPr>
        <w:rFonts w:ascii="Century Gothic" w:hAnsi="Century Gothic"/>
        <w:color w:val="80B1A8"/>
        <w:sz w:val="20"/>
        <w:szCs w:val="20"/>
      </w:rPr>
      <w:t xml:space="preserve">.org </w:t>
    </w:r>
  </w:p>
  <w:p w14:paraId="34DCE2D2" w14:textId="2D7333A7" w:rsidR="00F43FFA" w:rsidRDefault="00F43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19D5B" w14:textId="77777777" w:rsidR="003852DA" w:rsidRDefault="003852DA" w:rsidP="0065071E">
      <w:r>
        <w:separator/>
      </w:r>
    </w:p>
  </w:footnote>
  <w:footnote w:type="continuationSeparator" w:id="0">
    <w:p w14:paraId="0B3F1FDD" w14:textId="77777777" w:rsidR="003852DA" w:rsidRDefault="003852DA" w:rsidP="0065071E">
      <w:r>
        <w:continuationSeparator/>
      </w:r>
    </w:p>
  </w:footnote>
  <w:footnote w:id="1">
    <w:p w14:paraId="43187805" w14:textId="77777777" w:rsidR="004958C4" w:rsidRDefault="004958C4" w:rsidP="004958C4">
      <w:pPr>
        <w:pStyle w:val="FootnoteText"/>
      </w:pPr>
      <w:r>
        <w:rPr>
          <w:rStyle w:val="FootnoteReference"/>
        </w:rPr>
        <w:footnoteRef/>
      </w:r>
      <w:r>
        <w:t xml:space="preserve"> </w:t>
      </w:r>
      <w:r w:rsidRPr="005D23DF">
        <w:t>https://www.cdc.gov/coronavirus/2019-ncov/hcp/clinical-care/post-covid-background.html</w:t>
      </w:r>
    </w:p>
  </w:footnote>
  <w:footnote w:id="2">
    <w:p w14:paraId="3742687A" w14:textId="77777777" w:rsidR="00FE6014" w:rsidRDefault="00FE6014" w:rsidP="00FE6014">
      <w:pPr>
        <w:pStyle w:val="FootnoteText"/>
      </w:pPr>
      <w:r>
        <w:rPr>
          <w:rStyle w:val="FootnoteReference"/>
        </w:rPr>
        <w:footnoteRef/>
      </w:r>
      <w:r>
        <w:t xml:space="preserve"> </w:t>
      </w:r>
      <w:r w:rsidRPr="001768B5">
        <w:t>https://www.cdc.gov/coronavirus/2019-ncov/hcp/clinical-care/post-covid-assessment-testing.html</w:t>
      </w:r>
    </w:p>
  </w:footnote>
  <w:footnote w:id="3">
    <w:p w14:paraId="4E680D7F" w14:textId="4E97E146" w:rsidR="00F26539" w:rsidRDefault="00F26539">
      <w:pPr>
        <w:pStyle w:val="FootnoteText"/>
      </w:pPr>
      <w:r w:rsidRPr="00F26539">
        <w:rPr>
          <w:rStyle w:val="FootnoteReference"/>
          <w:sz w:val="18"/>
          <w:szCs w:val="18"/>
        </w:rPr>
        <w:footnoteRef/>
      </w:r>
      <w:r w:rsidRPr="00690F66">
        <w:rPr>
          <w:sz w:val="18"/>
          <w:szCs w:val="18"/>
          <w:lang w:val="fr-FR"/>
        </w:rPr>
        <w:t xml:space="preserve"> </w:t>
      </w:r>
      <w:r w:rsidRPr="00690F66">
        <w:rPr>
          <w:rFonts w:ascii="Arial" w:hAnsi="Arial" w:cs="Arial"/>
          <w:color w:val="222222"/>
          <w:sz w:val="18"/>
          <w:szCs w:val="18"/>
          <w:shd w:val="clear" w:color="auto" w:fill="FFFFFF"/>
          <w:lang w:val="fr-FR"/>
        </w:rPr>
        <w:t xml:space="preserve">Berger, Z., De Jesus, V. A., Assoumou, S. A., &amp; Greenhalgh, T. (2021). </w:t>
      </w:r>
      <w:r w:rsidRPr="00F26539">
        <w:rPr>
          <w:rFonts w:ascii="Arial" w:hAnsi="Arial" w:cs="Arial"/>
          <w:color w:val="222222"/>
          <w:sz w:val="18"/>
          <w:szCs w:val="18"/>
          <w:shd w:val="clear" w:color="auto" w:fill="FFFFFF"/>
        </w:rPr>
        <w:t>Long COVID and Health Inequities: The Role of Primary Care. </w:t>
      </w:r>
      <w:r w:rsidRPr="00F26539">
        <w:rPr>
          <w:rFonts w:ascii="Arial" w:hAnsi="Arial" w:cs="Arial"/>
          <w:i/>
          <w:iCs/>
          <w:color w:val="222222"/>
          <w:sz w:val="18"/>
          <w:szCs w:val="18"/>
          <w:shd w:val="clear" w:color="auto" w:fill="FFFFFF"/>
        </w:rPr>
        <w:t>The Milbank Quarterly</w:t>
      </w:r>
      <w:r w:rsidRPr="00F26539">
        <w:rPr>
          <w:rFonts w:ascii="Arial" w:hAnsi="Arial" w:cs="Arial"/>
          <w:color w:val="222222"/>
          <w:sz w:val="18"/>
          <w:szCs w:val="18"/>
          <w:shd w:val="clear" w:color="auto" w:fill="FFFFFF"/>
        </w:rPr>
        <w:t>, </w:t>
      </w:r>
      <w:r w:rsidRPr="00F26539">
        <w:rPr>
          <w:rFonts w:ascii="Arial" w:hAnsi="Arial" w:cs="Arial"/>
          <w:i/>
          <w:iCs/>
          <w:color w:val="222222"/>
          <w:sz w:val="18"/>
          <w:szCs w:val="18"/>
          <w:shd w:val="clear" w:color="auto" w:fill="FFFFFF"/>
        </w:rPr>
        <w:t>99</w:t>
      </w:r>
      <w:r w:rsidRPr="00F26539">
        <w:rPr>
          <w:rFonts w:ascii="Arial" w:hAnsi="Arial" w:cs="Arial"/>
          <w:color w:val="222222"/>
          <w:sz w:val="18"/>
          <w:szCs w:val="18"/>
          <w:shd w:val="clear" w:color="auto" w:fill="FFFFFF"/>
        </w:rPr>
        <w:t>(2), 519.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7224B" w14:textId="5B387131" w:rsidR="0084758B" w:rsidRPr="000D4805" w:rsidRDefault="004958C4" w:rsidP="0002787A">
    <w:pPr>
      <w:pStyle w:val="Footer"/>
      <w:rPr>
        <w:rFonts w:ascii="Century Gothic" w:hAnsi="Century Gothic"/>
        <w:color w:val="01594B"/>
        <w:sz w:val="20"/>
        <w:szCs w:val="20"/>
      </w:rPr>
    </w:pPr>
    <w:r>
      <w:rPr>
        <w:rFonts w:ascii="Century Gothic" w:hAnsi="Century Gothic"/>
        <w:color w:val="80B1A8"/>
        <w:sz w:val="20"/>
        <w:szCs w:val="20"/>
      </w:rPr>
      <w:t>Adapted Clinical Guidelines</w:t>
    </w:r>
    <w:r w:rsidR="007B5466">
      <w:rPr>
        <w:rFonts w:ascii="Century Gothic" w:hAnsi="Century Gothic"/>
        <w:color w:val="80B1A8"/>
        <w:sz w:val="20"/>
        <w:szCs w:val="20"/>
      </w:rPr>
      <w:t xml:space="preserve">: </w:t>
    </w:r>
    <w:r>
      <w:rPr>
        <w:rFonts w:ascii="Century Gothic" w:hAnsi="Century Gothic"/>
        <w:color w:val="80B1A8"/>
        <w:sz w:val="20"/>
        <w:szCs w:val="20"/>
      </w:rPr>
      <w:t>Long</w:t>
    </w:r>
    <w:r w:rsidR="009F1719">
      <w:rPr>
        <w:rFonts w:ascii="Century Gothic" w:hAnsi="Century Gothic"/>
        <w:color w:val="80B1A8"/>
        <w:sz w:val="20"/>
        <w:szCs w:val="20"/>
      </w:rPr>
      <w:t>-</w:t>
    </w:r>
    <w:r>
      <w:rPr>
        <w:rFonts w:ascii="Century Gothic" w:hAnsi="Century Gothic"/>
        <w:color w:val="80B1A8"/>
        <w:sz w:val="20"/>
        <w:szCs w:val="20"/>
      </w:rPr>
      <w:t>COVID</w:t>
    </w:r>
    <w:r w:rsidR="0084758B" w:rsidRPr="000D4805">
      <w:rPr>
        <w:rFonts w:ascii="Century Gothic" w:hAnsi="Century Gothic"/>
        <w:color w:val="01594B"/>
        <w:sz w:val="20"/>
        <w:szCs w:val="20"/>
      </w:rPr>
      <w:tab/>
    </w:r>
    <w:r w:rsidR="00D26E9B">
      <w:rPr>
        <w:rFonts w:ascii="Century Gothic" w:hAnsi="Century Gothic"/>
        <w:color w:val="01594B"/>
        <w:sz w:val="20"/>
        <w:szCs w:val="20"/>
      </w:rPr>
      <w:t xml:space="preserve">   </w:t>
    </w:r>
    <w:r w:rsidR="0084758B" w:rsidRPr="000D4805">
      <w:rPr>
        <w:rFonts w:ascii="Century Gothic" w:hAnsi="Century Gothic"/>
        <w:color w:val="01594B"/>
        <w:sz w:val="20"/>
        <w:szCs w:val="20"/>
      </w:rPr>
      <w:tab/>
    </w:r>
    <w:r w:rsidR="00CB6F04" w:rsidRPr="00183968">
      <w:rPr>
        <w:rFonts w:ascii="Century Gothic" w:hAnsi="Century Gothic"/>
        <w:color w:val="80B1A8"/>
        <w:sz w:val="20"/>
        <w:szCs w:val="20"/>
      </w:rPr>
      <w:t xml:space="preserve">         </w:t>
    </w:r>
    <w:r w:rsidR="00D26E9B" w:rsidRPr="00183968">
      <w:rPr>
        <w:rFonts w:ascii="Century Gothic" w:hAnsi="Century Gothic"/>
        <w:color w:val="80B1A8"/>
        <w:sz w:val="20"/>
        <w:szCs w:val="20"/>
      </w:rPr>
      <w:t xml:space="preserve">      </w:t>
    </w:r>
    <w:r w:rsidR="00CB6F04" w:rsidRPr="00183968">
      <w:rPr>
        <w:rFonts w:ascii="Century Gothic" w:hAnsi="Century Gothic"/>
        <w:color w:val="80B1A8"/>
        <w:sz w:val="20"/>
        <w:szCs w:val="20"/>
      </w:rPr>
      <w:t xml:space="preserve"> </w:t>
    </w:r>
    <w:r w:rsidR="009F1719">
      <w:rPr>
        <w:rFonts w:ascii="Century Gothic" w:hAnsi="Century Gothic"/>
        <w:color w:val="80B1A8"/>
        <w:sz w:val="20"/>
        <w:szCs w:val="20"/>
      </w:rPr>
      <w:t xml:space="preserve">October </w:t>
    </w:r>
    <w:r>
      <w:rPr>
        <w:rFonts w:ascii="Century Gothic" w:hAnsi="Century Gothic"/>
        <w:color w:val="80B1A8"/>
        <w:sz w:val="20"/>
        <w:szCs w:val="20"/>
      </w:rPr>
      <w:t>2021</w:t>
    </w:r>
  </w:p>
  <w:p w14:paraId="0550814C" w14:textId="3028C461" w:rsidR="00C519DA" w:rsidRDefault="00C519DA" w:rsidP="00CB6F04">
    <w:pPr>
      <w:pStyle w:val="Footer"/>
      <w:tabs>
        <w:tab w:val="clear" w:pos="4680"/>
        <w:tab w:val="clear" w:pos="9360"/>
        <w:tab w:val="right" w:pos="10080"/>
      </w:tabs>
      <w:rPr>
        <w:rFonts w:ascii="Century Gothic" w:hAnsi="Century Gothic"/>
        <w:color w:val="005480"/>
        <w:sz w:val="20"/>
        <w:szCs w:val="20"/>
      </w:rPr>
    </w:pPr>
    <w:r>
      <w:rPr>
        <w:rFonts w:ascii="Century Gothic" w:hAnsi="Century Gothic"/>
        <w:noProof/>
        <w:color w:val="005480"/>
        <w:sz w:val="20"/>
        <w:szCs w:val="20"/>
      </w:rPr>
      <mc:AlternateContent>
        <mc:Choice Requires="wps">
          <w:drawing>
            <wp:anchor distT="0" distB="0" distL="114300" distR="114300" simplePos="0" relativeHeight="251670528" behindDoc="0" locked="0" layoutInCell="1" allowOverlap="1" wp14:anchorId="7C7CFF65" wp14:editId="309E071A">
              <wp:simplePos x="0" y="0"/>
              <wp:positionH relativeFrom="column">
                <wp:posOffset>9659</wp:posOffset>
              </wp:positionH>
              <wp:positionV relativeFrom="paragraph">
                <wp:posOffset>80699</wp:posOffset>
              </wp:positionV>
              <wp:extent cx="6400800" cy="0"/>
              <wp:effectExtent l="0" t="0" r="12700" b="12700"/>
              <wp:wrapNone/>
              <wp:docPr id="9" name="Straight Connector 9"/>
              <wp:cNvGraphicFramePr/>
              <a:graphic xmlns:a="http://schemas.openxmlformats.org/drawingml/2006/main">
                <a:graphicData uri="http://schemas.microsoft.com/office/word/2010/wordprocessingShape">
                  <wps:wsp>
                    <wps:cNvCnPr/>
                    <wps:spPr>
                      <a:xfrm>
                        <a:off x="0" y="0"/>
                        <a:ext cx="6400800" cy="0"/>
                      </a:xfrm>
                      <a:prstGeom prst="line">
                        <a:avLst/>
                      </a:prstGeom>
                      <a:ln w="12700">
                        <a:solidFill>
                          <a:srgbClr val="80B1A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3FCFC7" id="Straight Connector 9"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6.35pt" to="504.7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" strokecolor="#80b1a8" strokeweight="1pt">
              <v:stroke joinstyle="miter"/>
            </v:line>
          </w:pict>
        </mc:Fallback>
      </mc:AlternateContent>
    </w:r>
    <w:r w:rsidR="00CB6F04">
      <w:rPr>
        <w:rFonts w:ascii="Century Gothic" w:hAnsi="Century Gothic"/>
        <w:color w:val="005480"/>
        <w:sz w:val="20"/>
        <w:szCs w:val="20"/>
      </w:rPr>
      <w:tab/>
    </w:r>
  </w:p>
  <w:p w14:paraId="23E44219" w14:textId="24BBD56B" w:rsidR="00F43FFA" w:rsidRDefault="00F43FFA" w:rsidP="008475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8A34D" w14:textId="7FB8C43A" w:rsidR="00F43FFA" w:rsidRDefault="002025A5">
    <w:pPr>
      <w:pStyle w:val="Header"/>
    </w:pPr>
    <w:r>
      <w:rPr>
        <w:noProof/>
      </w:rPr>
      <mc:AlternateContent>
        <mc:Choice Requires="wps">
          <w:drawing>
            <wp:anchor distT="0" distB="0" distL="114300" distR="114300" simplePos="0" relativeHeight="251659264" behindDoc="0" locked="0" layoutInCell="1" allowOverlap="1" wp14:anchorId="64D2E0AA" wp14:editId="464E2193">
              <wp:simplePos x="0" y="0"/>
              <wp:positionH relativeFrom="column">
                <wp:posOffset>1282700</wp:posOffset>
              </wp:positionH>
              <wp:positionV relativeFrom="paragraph">
                <wp:posOffset>360680</wp:posOffset>
              </wp:positionV>
              <wp:extent cx="4699000" cy="673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699000" cy="673100"/>
                      </a:xfrm>
                      <a:prstGeom prst="rect">
                        <a:avLst/>
                      </a:prstGeom>
                      <a:noFill/>
                      <a:ln w="6350">
                        <a:noFill/>
                      </a:ln>
                    </wps:spPr>
                    <wps:txbx>
                      <w:txbxContent>
                        <w:p w14:paraId="36209022" w14:textId="5175879A" w:rsidR="00F43FFA" w:rsidRPr="00B300D5" w:rsidRDefault="002F7632" w:rsidP="0065071E">
                          <w:pPr>
                            <w:jc w:val="center"/>
                            <w:rPr>
                              <w:rFonts w:ascii="Century Gothic" w:hAnsi="Century Gothic"/>
                              <w:b/>
                              <w:bCs/>
                              <w:color w:val="01594B"/>
                              <w:sz w:val="32"/>
                              <w:szCs w:val="32"/>
                            </w:rPr>
                          </w:pPr>
                          <w:r>
                            <w:rPr>
                              <w:rFonts w:ascii="Century Gothic" w:hAnsi="Century Gothic"/>
                              <w:b/>
                              <w:bCs/>
                              <w:color w:val="01594B"/>
                              <w:sz w:val="32"/>
                              <w:szCs w:val="32"/>
                            </w:rPr>
                            <w:t xml:space="preserve">Interim </w:t>
                          </w:r>
                          <w:r w:rsidR="00C10FED" w:rsidRPr="00B300D5">
                            <w:rPr>
                              <w:rFonts w:ascii="Century Gothic" w:hAnsi="Century Gothic"/>
                              <w:b/>
                              <w:bCs/>
                              <w:color w:val="01594B"/>
                              <w:sz w:val="32"/>
                              <w:szCs w:val="32"/>
                            </w:rPr>
                            <w:t>Adapted Clinical Guidelines</w:t>
                          </w:r>
                          <w:r w:rsidR="00C805A2">
                            <w:rPr>
                              <w:rFonts w:ascii="Century Gothic" w:hAnsi="Century Gothic"/>
                              <w:b/>
                              <w:bCs/>
                              <w:color w:val="01594B"/>
                              <w:sz w:val="32"/>
                              <w:szCs w:val="32"/>
                            </w:rPr>
                            <w:t xml:space="preserve"> for</w:t>
                          </w:r>
                        </w:p>
                        <w:p w14:paraId="63AC8EC3" w14:textId="085D4155" w:rsidR="00C10FED" w:rsidRPr="00B300D5" w:rsidRDefault="00B300D5" w:rsidP="0065071E">
                          <w:pPr>
                            <w:jc w:val="center"/>
                            <w:rPr>
                              <w:rFonts w:ascii="Century Gothic" w:hAnsi="Century Gothic"/>
                              <w:b/>
                              <w:bCs/>
                              <w:color w:val="01594B"/>
                              <w:sz w:val="32"/>
                              <w:szCs w:val="32"/>
                            </w:rPr>
                          </w:pPr>
                          <w:r w:rsidRPr="00B300D5">
                            <w:rPr>
                              <w:rFonts w:ascii="Century Gothic" w:hAnsi="Century Gothic"/>
                              <w:b/>
                              <w:bCs/>
                              <w:color w:val="01594B"/>
                              <w:sz w:val="32"/>
                              <w:szCs w:val="32"/>
                            </w:rPr>
                            <w:t>Post</w:t>
                          </w:r>
                          <w:r w:rsidR="000E3409">
                            <w:rPr>
                              <w:rFonts w:ascii="Century Gothic" w:hAnsi="Century Gothic"/>
                              <w:b/>
                              <w:bCs/>
                              <w:color w:val="01594B"/>
                              <w:sz w:val="32"/>
                              <w:szCs w:val="32"/>
                            </w:rPr>
                            <w:t>-COVID Conditions (Long-COVID)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D2E0AA" id="_x0000_t202" coordsize="21600,21600" o:spt="202" path="m,l,21600r21600,l21600,xe">
              <v:stroke joinstyle="miter"/>
              <v:path gradientshapeok="t" o:connecttype="rect"/>
            </v:shapetype>
            <v:shape id="Text Box 2" o:spid="_x0000_s1026" type="#_x0000_t202" style="position:absolute;margin-left:101pt;margin-top:28.4pt;width:370pt;height: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" filled="f" stroked="f" strokeweight=".5pt">
              <v:textbox>
                <w:txbxContent>
                  <w:p w14:paraId="36209022" w14:textId="5175879A" w:rsidR="00F43FFA" w:rsidRPr="00B300D5" w:rsidRDefault="002F7632" w:rsidP="0065071E">
                    <w:pPr>
                      <w:jc w:val="center"/>
                      <w:rPr>
                        <w:rFonts w:ascii="Century Gothic" w:hAnsi="Century Gothic"/>
                        <w:b/>
                        <w:bCs/>
                        <w:color w:val="01594B"/>
                        <w:sz w:val="32"/>
                        <w:szCs w:val="32"/>
                      </w:rPr>
                    </w:pPr>
                    <w:r>
                      <w:rPr>
                        <w:rFonts w:ascii="Century Gothic" w:hAnsi="Century Gothic"/>
                        <w:b/>
                        <w:bCs/>
                        <w:color w:val="01594B"/>
                        <w:sz w:val="32"/>
                        <w:szCs w:val="32"/>
                      </w:rPr>
                      <w:t xml:space="preserve">Interim </w:t>
                    </w:r>
                    <w:r w:rsidR="00C10FED" w:rsidRPr="00B300D5">
                      <w:rPr>
                        <w:rFonts w:ascii="Century Gothic" w:hAnsi="Century Gothic"/>
                        <w:b/>
                        <w:bCs/>
                        <w:color w:val="01594B"/>
                        <w:sz w:val="32"/>
                        <w:szCs w:val="32"/>
                      </w:rPr>
                      <w:t>Adapted Clinical Guidelines</w:t>
                    </w:r>
                    <w:r w:rsidR="00C805A2">
                      <w:rPr>
                        <w:rFonts w:ascii="Century Gothic" w:hAnsi="Century Gothic"/>
                        <w:b/>
                        <w:bCs/>
                        <w:color w:val="01594B"/>
                        <w:sz w:val="32"/>
                        <w:szCs w:val="32"/>
                      </w:rPr>
                      <w:t xml:space="preserve"> for</w:t>
                    </w:r>
                  </w:p>
                  <w:p w14:paraId="63AC8EC3" w14:textId="085D4155" w:rsidR="00C10FED" w:rsidRPr="00B300D5" w:rsidRDefault="00B300D5" w:rsidP="0065071E">
                    <w:pPr>
                      <w:jc w:val="center"/>
                      <w:rPr>
                        <w:rFonts w:ascii="Century Gothic" w:hAnsi="Century Gothic"/>
                        <w:b/>
                        <w:bCs/>
                        <w:color w:val="01594B"/>
                        <w:sz w:val="32"/>
                        <w:szCs w:val="32"/>
                      </w:rPr>
                    </w:pPr>
                    <w:r w:rsidRPr="00B300D5">
                      <w:rPr>
                        <w:rFonts w:ascii="Century Gothic" w:hAnsi="Century Gothic"/>
                        <w:b/>
                        <w:bCs/>
                        <w:color w:val="01594B"/>
                        <w:sz w:val="32"/>
                        <w:szCs w:val="32"/>
                      </w:rPr>
                      <w:t>Post</w:t>
                    </w:r>
                    <w:r w:rsidR="000E3409">
                      <w:rPr>
                        <w:rFonts w:ascii="Century Gothic" w:hAnsi="Century Gothic"/>
                        <w:b/>
                        <w:bCs/>
                        <w:color w:val="01594B"/>
                        <w:sz w:val="32"/>
                        <w:szCs w:val="32"/>
                      </w:rPr>
                      <w:t>-COVID Conditions (Long-COVID)</w:t>
                    </w:r>
                  </w:p>
                </w:txbxContent>
              </v:textbox>
            </v:shape>
          </w:pict>
        </mc:Fallback>
      </mc:AlternateContent>
    </w:r>
    <w:r w:rsidR="009D6A02">
      <w:rPr>
        <w:noProof/>
      </w:rPr>
      <w:drawing>
        <wp:inline distT="0" distB="0" distL="0" distR="0" wp14:anchorId="29FDB6B2" wp14:editId="650D0E1A">
          <wp:extent cx="6400800" cy="1165225"/>
          <wp:effectExtent l="0" t="0" r="0" b="3175"/>
          <wp:docPr id="3" name="Picture 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400800" cy="1165225"/>
                  </a:xfrm>
                  <a:prstGeom prst="rect">
                    <a:avLst/>
                  </a:prstGeom>
                </pic:spPr>
              </pic:pic>
            </a:graphicData>
          </a:graphic>
        </wp:inline>
      </w:drawing>
    </w:r>
  </w:p>
  <w:p w14:paraId="5C0512EA" w14:textId="6E4CE665" w:rsidR="002025A5" w:rsidRDefault="002025A5">
    <w:pPr>
      <w:pStyle w:val="Header"/>
    </w:pPr>
    <w:r>
      <w:rPr>
        <w:noProof/>
      </w:rPr>
      <mc:AlternateContent>
        <mc:Choice Requires="wps">
          <w:drawing>
            <wp:anchor distT="0" distB="0" distL="114300" distR="114300" simplePos="0" relativeHeight="251662336" behindDoc="0" locked="0" layoutInCell="1" allowOverlap="1" wp14:anchorId="3C69C496" wp14:editId="6D328887">
              <wp:simplePos x="0" y="0"/>
              <wp:positionH relativeFrom="column">
                <wp:posOffset>1744889</wp:posOffset>
              </wp:positionH>
              <wp:positionV relativeFrom="paragraph">
                <wp:posOffset>46718</wp:posOffset>
              </wp:positionV>
              <wp:extent cx="3000375"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000375" cy="342900"/>
                      </a:xfrm>
                      <a:prstGeom prst="rect">
                        <a:avLst/>
                      </a:prstGeom>
                      <a:noFill/>
                      <a:ln w="6350">
                        <a:noFill/>
                      </a:ln>
                    </wps:spPr>
                    <wps:txbx>
                      <w:txbxContent>
                        <w:p w14:paraId="38E8779E" w14:textId="7569CC29" w:rsidR="00F43FFA" w:rsidRPr="00A856C0" w:rsidRDefault="00770BAE" w:rsidP="0065071E">
                          <w:pPr>
                            <w:jc w:val="center"/>
                            <w:rPr>
                              <w:rFonts w:ascii="Century Gothic" w:hAnsi="Century Gothic"/>
                              <w:color w:val="01594B"/>
                            </w:rPr>
                          </w:pPr>
                          <w:r>
                            <w:rPr>
                              <w:rFonts w:ascii="Century Gothic" w:hAnsi="Century Gothic"/>
                              <w:color w:val="01594B"/>
                            </w:rPr>
                            <w:t>October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69C496" id="Text Box 4" o:spid="_x0000_s1027" type="#_x0000_t202" style="position:absolute;margin-left:137.4pt;margin-top:3.7pt;width:236.25pt;height:2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" filled="f" stroked="f" strokeweight=".5pt">
              <v:textbox>
                <w:txbxContent>
                  <w:p w14:paraId="38E8779E" w14:textId="7569CC29" w:rsidR="00F43FFA" w:rsidRPr="00A856C0" w:rsidRDefault="00770BAE" w:rsidP="0065071E">
                    <w:pPr>
                      <w:jc w:val="center"/>
                      <w:rPr>
                        <w:rFonts w:ascii="Century Gothic" w:hAnsi="Century Gothic"/>
                        <w:color w:val="01594B"/>
                      </w:rPr>
                    </w:pPr>
                    <w:r>
                      <w:rPr>
                        <w:rFonts w:ascii="Century Gothic" w:hAnsi="Century Gothic"/>
                        <w:color w:val="01594B"/>
                      </w:rPr>
                      <w:t>October 2021</w:t>
                    </w:r>
                  </w:p>
                </w:txbxContent>
              </v:textbox>
            </v:shape>
          </w:pict>
        </mc:Fallback>
      </mc:AlternateContent>
    </w:r>
  </w:p>
  <w:p w14:paraId="436A48AE" w14:textId="39120DF5" w:rsidR="002025A5" w:rsidRDefault="002025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252FE"/>
    <w:multiLevelType w:val="hybridMultilevel"/>
    <w:tmpl w:val="45789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D3805"/>
    <w:multiLevelType w:val="hybridMultilevel"/>
    <w:tmpl w:val="932EB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68D5C27"/>
    <w:multiLevelType w:val="hybridMultilevel"/>
    <w:tmpl w:val="1BD4F29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2B4024"/>
    <w:multiLevelType w:val="hybridMultilevel"/>
    <w:tmpl w:val="C33A2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AD63A2"/>
    <w:multiLevelType w:val="hybridMultilevel"/>
    <w:tmpl w:val="F8DE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116591"/>
    <w:multiLevelType w:val="hybridMultilevel"/>
    <w:tmpl w:val="8C1C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CE6FFD"/>
    <w:multiLevelType w:val="hybridMultilevel"/>
    <w:tmpl w:val="2D404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4110994"/>
    <w:multiLevelType w:val="hybridMultilevel"/>
    <w:tmpl w:val="5B3434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2E7541"/>
    <w:multiLevelType w:val="hybridMultilevel"/>
    <w:tmpl w:val="2F702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EB243E2"/>
    <w:multiLevelType w:val="hybridMultilevel"/>
    <w:tmpl w:val="FA5092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8"/>
  </w:num>
  <w:num w:numId="6">
    <w:abstractNumId w:val="2"/>
  </w:num>
  <w:num w:numId="7">
    <w:abstractNumId w:val="6"/>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71E"/>
    <w:rsid w:val="000073F1"/>
    <w:rsid w:val="00007A22"/>
    <w:rsid w:val="00013E08"/>
    <w:rsid w:val="0002787A"/>
    <w:rsid w:val="000317C0"/>
    <w:rsid w:val="000567F1"/>
    <w:rsid w:val="000600BC"/>
    <w:rsid w:val="000647F9"/>
    <w:rsid w:val="000727BD"/>
    <w:rsid w:val="00082254"/>
    <w:rsid w:val="000A52ED"/>
    <w:rsid w:val="000B6A62"/>
    <w:rsid w:val="000C17E3"/>
    <w:rsid w:val="000C3F66"/>
    <w:rsid w:val="000D4805"/>
    <w:rsid w:val="000D6237"/>
    <w:rsid w:val="000E3409"/>
    <w:rsid w:val="000F0B62"/>
    <w:rsid w:val="00101187"/>
    <w:rsid w:val="00101E20"/>
    <w:rsid w:val="0011717D"/>
    <w:rsid w:val="00127457"/>
    <w:rsid w:val="0015318E"/>
    <w:rsid w:val="001555BE"/>
    <w:rsid w:val="001641F9"/>
    <w:rsid w:val="001768B5"/>
    <w:rsid w:val="00183968"/>
    <w:rsid w:val="001866C7"/>
    <w:rsid w:val="001A39FF"/>
    <w:rsid w:val="001B12D9"/>
    <w:rsid w:val="001C6F68"/>
    <w:rsid w:val="001D2166"/>
    <w:rsid w:val="001D7E6F"/>
    <w:rsid w:val="002025A5"/>
    <w:rsid w:val="00203307"/>
    <w:rsid w:val="002039F3"/>
    <w:rsid w:val="00227FF9"/>
    <w:rsid w:val="00233243"/>
    <w:rsid w:val="00240366"/>
    <w:rsid w:val="00261A32"/>
    <w:rsid w:val="00264DEA"/>
    <w:rsid w:val="002C1ACA"/>
    <w:rsid w:val="002C3E03"/>
    <w:rsid w:val="002F15D4"/>
    <w:rsid w:val="002F4631"/>
    <w:rsid w:val="002F7632"/>
    <w:rsid w:val="003156B5"/>
    <w:rsid w:val="00341158"/>
    <w:rsid w:val="00343053"/>
    <w:rsid w:val="0035016F"/>
    <w:rsid w:val="00353406"/>
    <w:rsid w:val="00362246"/>
    <w:rsid w:val="00363BC3"/>
    <w:rsid w:val="00377E6E"/>
    <w:rsid w:val="00384E19"/>
    <w:rsid w:val="003852DA"/>
    <w:rsid w:val="00387EA2"/>
    <w:rsid w:val="00391193"/>
    <w:rsid w:val="00397C65"/>
    <w:rsid w:val="003B4B64"/>
    <w:rsid w:val="003C1F2C"/>
    <w:rsid w:val="003C5706"/>
    <w:rsid w:val="003D6C5E"/>
    <w:rsid w:val="003E5190"/>
    <w:rsid w:val="003E5CCB"/>
    <w:rsid w:val="003F4661"/>
    <w:rsid w:val="00432DF5"/>
    <w:rsid w:val="0043381A"/>
    <w:rsid w:val="00441DE5"/>
    <w:rsid w:val="00474FC8"/>
    <w:rsid w:val="00482C26"/>
    <w:rsid w:val="004831A8"/>
    <w:rsid w:val="00492653"/>
    <w:rsid w:val="00494E9C"/>
    <w:rsid w:val="004958C4"/>
    <w:rsid w:val="004A3C4E"/>
    <w:rsid w:val="004C0A23"/>
    <w:rsid w:val="004C27E3"/>
    <w:rsid w:val="004C72E8"/>
    <w:rsid w:val="004D21EB"/>
    <w:rsid w:val="004D656C"/>
    <w:rsid w:val="004E06C3"/>
    <w:rsid w:val="005021AA"/>
    <w:rsid w:val="00516582"/>
    <w:rsid w:val="0051732D"/>
    <w:rsid w:val="005311D6"/>
    <w:rsid w:val="00537258"/>
    <w:rsid w:val="00541FC5"/>
    <w:rsid w:val="0054359C"/>
    <w:rsid w:val="005441E2"/>
    <w:rsid w:val="00571F30"/>
    <w:rsid w:val="00574883"/>
    <w:rsid w:val="0057661C"/>
    <w:rsid w:val="005A3AA0"/>
    <w:rsid w:val="005B1159"/>
    <w:rsid w:val="005C12FC"/>
    <w:rsid w:val="005C4525"/>
    <w:rsid w:val="005C6994"/>
    <w:rsid w:val="005D5C55"/>
    <w:rsid w:val="005E2A5A"/>
    <w:rsid w:val="005E69D4"/>
    <w:rsid w:val="006012E4"/>
    <w:rsid w:val="00603B25"/>
    <w:rsid w:val="00604DC5"/>
    <w:rsid w:val="00625C40"/>
    <w:rsid w:val="00634EAD"/>
    <w:rsid w:val="006412C8"/>
    <w:rsid w:val="0065071E"/>
    <w:rsid w:val="006512CD"/>
    <w:rsid w:val="006671E1"/>
    <w:rsid w:val="006803F6"/>
    <w:rsid w:val="00682E7C"/>
    <w:rsid w:val="00690F66"/>
    <w:rsid w:val="006B003D"/>
    <w:rsid w:val="006C43C0"/>
    <w:rsid w:val="006E035D"/>
    <w:rsid w:val="006E231F"/>
    <w:rsid w:val="006E2584"/>
    <w:rsid w:val="00714EA9"/>
    <w:rsid w:val="00715812"/>
    <w:rsid w:val="007420BA"/>
    <w:rsid w:val="007474DB"/>
    <w:rsid w:val="00770BAE"/>
    <w:rsid w:val="007B0E9B"/>
    <w:rsid w:val="007B5466"/>
    <w:rsid w:val="007E71C7"/>
    <w:rsid w:val="00800483"/>
    <w:rsid w:val="00803F00"/>
    <w:rsid w:val="008055C8"/>
    <w:rsid w:val="00832181"/>
    <w:rsid w:val="0084758B"/>
    <w:rsid w:val="00850EE0"/>
    <w:rsid w:val="008564C5"/>
    <w:rsid w:val="008823CC"/>
    <w:rsid w:val="008A2289"/>
    <w:rsid w:val="008D04B7"/>
    <w:rsid w:val="00914DA4"/>
    <w:rsid w:val="00931B16"/>
    <w:rsid w:val="00932E62"/>
    <w:rsid w:val="009332CF"/>
    <w:rsid w:val="00937D0B"/>
    <w:rsid w:val="00941684"/>
    <w:rsid w:val="00963A14"/>
    <w:rsid w:val="009815B0"/>
    <w:rsid w:val="00982BAD"/>
    <w:rsid w:val="00984018"/>
    <w:rsid w:val="00995760"/>
    <w:rsid w:val="009A18F9"/>
    <w:rsid w:val="009C25CE"/>
    <w:rsid w:val="009C3BCC"/>
    <w:rsid w:val="009C67B2"/>
    <w:rsid w:val="009D6A02"/>
    <w:rsid w:val="009F1719"/>
    <w:rsid w:val="009F2DB4"/>
    <w:rsid w:val="00A12E48"/>
    <w:rsid w:val="00A31B76"/>
    <w:rsid w:val="00A45EB3"/>
    <w:rsid w:val="00A72CEF"/>
    <w:rsid w:val="00A856C0"/>
    <w:rsid w:val="00A874B0"/>
    <w:rsid w:val="00AA5FA2"/>
    <w:rsid w:val="00AA6A24"/>
    <w:rsid w:val="00AD6DBE"/>
    <w:rsid w:val="00B15F7D"/>
    <w:rsid w:val="00B21C4C"/>
    <w:rsid w:val="00B300D5"/>
    <w:rsid w:val="00B307A4"/>
    <w:rsid w:val="00B5519A"/>
    <w:rsid w:val="00B74AFF"/>
    <w:rsid w:val="00BA0B4D"/>
    <w:rsid w:val="00BB2EDA"/>
    <w:rsid w:val="00BB7AF8"/>
    <w:rsid w:val="00BC1E7A"/>
    <w:rsid w:val="00BC5309"/>
    <w:rsid w:val="00BC7318"/>
    <w:rsid w:val="00BD0924"/>
    <w:rsid w:val="00BD48E6"/>
    <w:rsid w:val="00BD55EB"/>
    <w:rsid w:val="00C10FED"/>
    <w:rsid w:val="00C15CF3"/>
    <w:rsid w:val="00C312B2"/>
    <w:rsid w:val="00C312DE"/>
    <w:rsid w:val="00C519DA"/>
    <w:rsid w:val="00C5231D"/>
    <w:rsid w:val="00C53BB1"/>
    <w:rsid w:val="00C70022"/>
    <w:rsid w:val="00C737C4"/>
    <w:rsid w:val="00C805A2"/>
    <w:rsid w:val="00CA11FF"/>
    <w:rsid w:val="00CB1C6E"/>
    <w:rsid w:val="00CB6F04"/>
    <w:rsid w:val="00CD1E52"/>
    <w:rsid w:val="00CE7633"/>
    <w:rsid w:val="00CE78D9"/>
    <w:rsid w:val="00D168F2"/>
    <w:rsid w:val="00D26E9B"/>
    <w:rsid w:val="00D33F18"/>
    <w:rsid w:val="00D36CA9"/>
    <w:rsid w:val="00D8440B"/>
    <w:rsid w:val="00D85F77"/>
    <w:rsid w:val="00D953FD"/>
    <w:rsid w:val="00D97402"/>
    <w:rsid w:val="00DB36EF"/>
    <w:rsid w:val="00DB53C5"/>
    <w:rsid w:val="00DB61A4"/>
    <w:rsid w:val="00DB66EC"/>
    <w:rsid w:val="00DC7A8E"/>
    <w:rsid w:val="00DD0230"/>
    <w:rsid w:val="00DE2B62"/>
    <w:rsid w:val="00DF169E"/>
    <w:rsid w:val="00DF701A"/>
    <w:rsid w:val="00E15782"/>
    <w:rsid w:val="00E41739"/>
    <w:rsid w:val="00E63555"/>
    <w:rsid w:val="00E94A3D"/>
    <w:rsid w:val="00EA58EC"/>
    <w:rsid w:val="00EB5F7E"/>
    <w:rsid w:val="00EC55ED"/>
    <w:rsid w:val="00EE5D7E"/>
    <w:rsid w:val="00F028EA"/>
    <w:rsid w:val="00F1179C"/>
    <w:rsid w:val="00F20CED"/>
    <w:rsid w:val="00F24D43"/>
    <w:rsid w:val="00F26539"/>
    <w:rsid w:val="00F35315"/>
    <w:rsid w:val="00F43FFA"/>
    <w:rsid w:val="00F52B51"/>
    <w:rsid w:val="00F84A03"/>
    <w:rsid w:val="00F946B5"/>
    <w:rsid w:val="00FD49AE"/>
    <w:rsid w:val="00FE6014"/>
    <w:rsid w:val="040252BA"/>
    <w:rsid w:val="072A09EC"/>
    <w:rsid w:val="09767C38"/>
    <w:rsid w:val="0D72E932"/>
    <w:rsid w:val="0FBF192E"/>
    <w:rsid w:val="14FC0972"/>
    <w:rsid w:val="15047EC2"/>
    <w:rsid w:val="16BED455"/>
    <w:rsid w:val="20352C49"/>
    <w:rsid w:val="20537EAA"/>
    <w:rsid w:val="20987599"/>
    <w:rsid w:val="24072C72"/>
    <w:rsid w:val="29A5EAFA"/>
    <w:rsid w:val="2A59AF2C"/>
    <w:rsid w:val="2D71CE9D"/>
    <w:rsid w:val="2DAC4850"/>
    <w:rsid w:val="2FF8DCF3"/>
    <w:rsid w:val="3267C006"/>
    <w:rsid w:val="38371378"/>
    <w:rsid w:val="385694C9"/>
    <w:rsid w:val="38E04FD6"/>
    <w:rsid w:val="3A10EA5C"/>
    <w:rsid w:val="46E94646"/>
    <w:rsid w:val="48717DF0"/>
    <w:rsid w:val="4AB6F051"/>
    <w:rsid w:val="4B02D7AC"/>
    <w:rsid w:val="4DABC533"/>
    <w:rsid w:val="4F446E66"/>
    <w:rsid w:val="501AA846"/>
    <w:rsid w:val="54834835"/>
    <w:rsid w:val="5532DD87"/>
    <w:rsid w:val="58DC0E13"/>
    <w:rsid w:val="5BA8AAD0"/>
    <w:rsid w:val="5E7B3BDA"/>
    <w:rsid w:val="66F7AAB8"/>
    <w:rsid w:val="6A04ABD8"/>
    <w:rsid w:val="6BA54196"/>
    <w:rsid w:val="6BFB4A91"/>
    <w:rsid w:val="6C6C0707"/>
    <w:rsid w:val="6DD042DA"/>
    <w:rsid w:val="7192E769"/>
    <w:rsid w:val="738C3F9E"/>
    <w:rsid w:val="77D55E3C"/>
    <w:rsid w:val="792B6D65"/>
    <w:rsid w:val="7D9D0FBC"/>
    <w:rsid w:val="7EDB3F86"/>
    <w:rsid w:val="7EFAC0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59C93"/>
  <w14:defaultImageDpi w14:val="32767"/>
  <w15:chartTrackingRefBased/>
  <w15:docId w15:val="{471DB67D-ADA8-4DFC-B643-78D55A5DD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71E"/>
    <w:pPr>
      <w:tabs>
        <w:tab w:val="center" w:pos="4680"/>
        <w:tab w:val="right" w:pos="9360"/>
      </w:tabs>
    </w:pPr>
  </w:style>
  <w:style w:type="character" w:customStyle="1" w:styleId="HeaderChar">
    <w:name w:val="Header Char"/>
    <w:basedOn w:val="DefaultParagraphFont"/>
    <w:link w:val="Header"/>
    <w:uiPriority w:val="99"/>
    <w:rsid w:val="0065071E"/>
  </w:style>
  <w:style w:type="paragraph" w:styleId="Footer">
    <w:name w:val="footer"/>
    <w:basedOn w:val="Normal"/>
    <w:link w:val="FooterChar"/>
    <w:uiPriority w:val="99"/>
    <w:unhideWhenUsed/>
    <w:rsid w:val="0065071E"/>
    <w:pPr>
      <w:tabs>
        <w:tab w:val="center" w:pos="4680"/>
        <w:tab w:val="right" w:pos="9360"/>
      </w:tabs>
    </w:pPr>
  </w:style>
  <w:style w:type="character" w:customStyle="1" w:styleId="FooterChar">
    <w:name w:val="Footer Char"/>
    <w:basedOn w:val="DefaultParagraphFont"/>
    <w:link w:val="Footer"/>
    <w:uiPriority w:val="99"/>
    <w:rsid w:val="0065071E"/>
  </w:style>
  <w:style w:type="character" w:styleId="Hyperlink">
    <w:name w:val="Hyperlink"/>
    <w:basedOn w:val="DefaultParagraphFont"/>
    <w:uiPriority w:val="99"/>
    <w:unhideWhenUsed/>
    <w:rsid w:val="0084758B"/>
    <w:rPr>
      <w:color w:val="0563C1" w:themeColor="hyperlink"/>
      <w:u w:val="single"/>
    </w:rPr>
  </w:style>
  <w:style w:type="character" w:customStyle="1" w:styleId="UnresolvedMention1">
    <w:name w:val="Unresolved Mention1"/>
    <w:basedOn w:val="DefaultParagraphFont"/>
    <w:uiPriority w:val="99"/>
    <w:rsid w:val="0084758B"/>
    <w:rPr>
      <w:color w:val="605E5C"/>
      <w:shd w:val="clear" w:color="auto" w:fill="E1DFDD"/>
    </w:rPr>
  </w:style>
  <w:style w:type="character" w:styleId="PageNumber">
    <w:name w:val="page number"/>
    <w:basedOn w:val="DefaultParagraphFont"/>
    <w:uiPriority w:val="99"/>
    <w:semiHidden/>
    <w:unhideWhenUsed/>
    <w:rsid w:val="005C4525"/>
  </w:style>
  <w:style w:type="paragraph" w:styleId="FootnoteText">
    <w:name w:val="footnote text"/>
    <w:basedOn w:val="Normal"/>
    <w:link w:val="FootnoteTextChar"/>
    <w:uiPriority w:val="99"/>
    <w:semiHidden/>
    <w:unhideWhenUsed/>
    <w:rsid w:val="004958C4"/>
    <w:rPr>
      <w:sz w:val="20"/>
      <w:szCs w:val="20"/>
    </w:rPr>
  </w:style>
  <w:style w:type="character" w:customStyle="1" w:styleId="FootnoteTextChar">
    <w:name w:val="Footnote Text Char"/>
    <w:basedOn w:val="DefaultParagraphFont"/>
    <w:link w:val="FootnoteText"/>
    <w:uiPriority w:val="99"/>
    <w:semiHidden/>
    <w:rsid w:val="004958C4"/>
    <w:rPr>
      <w:sz w:val="20"/>
      <w:szCs w:val="20"/>
    </w:rPr>
  </w:style>
  <w:style w:type="character" w:styleId="FootnoteReference">
    <w:name w:val="footnote reference"/>
    <w:basedOn w:val="DefaultParagraphFont"/>
    <w:uiPriority w:val="99"/>
    <w:unhideWhenUsed/>
    <w:rsid w:val="004958C4"/>
    <w:rPr>
      <w:vertAlign w:val="superscript"/>
    </w:rPr>
  </w:style>
  <w:style w:type="paragraph" w:styleId="ListParagraph">
    <w:name w:val="List Paragraph"/>
    <w:basedOn w:val="Normal"/>
    <w:uiPriority w:val="34"/>
    <w:qFormat/>
    <w:rsid w:val="004958C4"/>
    <w:pPr>
      <w:spacing w:after="160" w:line="259" w:lineRule="auto"/>
      <w:ind w:left="720"/>
      <w:contextualSpacing/>
    </w:pPr>
    <w:rPr>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3E5CCB"/>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3E5CCB"/>
    <w:rPr>
      <w:b/>
      <w:bCs/>
    </w:rPr>
  </w:style>
  <w:style w:type="character" w:customStyle="1" w:styleId="CommentSubjectChar">
    <w:name w:val="Comment Subject Char"/>
    <w:basedOn w:val="CommentTextChar"/>
    <w:link w:val="CommentSubject"/>
    <w:uiPriority w:val="99"/>
    <w:semiHidden/>
    <w:rsid w:val="003E5CCB"/>
    <w:rPr>
      <w:b/>
      <w:bCs/>
      <w:sz w:val="20"/>
      <w:szCs w:val="20"/>
    </w:rPr>
  </w:style>
  <w:style w:type="table" w:styleId="TableGrid">
    <w:name w:val="Table Grid"/>
    <w:basedOn w:val="TableNormal"/>
    <w:uiPriority w:val="39"/>
    <w:rsid w:val="00DB6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C67B2"/>
  </w:style>
  <w:style w:type="paragraph" w:styleId="BalloonText">
    <w:name w:val="Balloon Text"/>
    <w:basedOn w:val="Normal"/>
    <w:link w:val="BalloonTextChar"/>
    <w:uiPriority w:val="99"/>
    <w:semiHidden/>
    <w:unhideWhenUsed/>
    <w:rsid w:val="00604D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D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933964">
      <w:bodyDiv w:val="1"/>
      <w:marLeft w:val="0"/>
      <w:marRight w:val="0"/>
      <w:marTop w:val="0"/>
      <w:marBottom w:val="0"/>
      <w:divBdr>
        <w:top w:val="none" w:sz="0" w:space="0" w:color="auto"/>
        <w:left w:val="none" w:sz="0" w:space="0" w:color="auto"/>
        <w:bottom w:val="none" w:sz="0" w:space="0" w:color="auto"/>
        <w:right w:val="none" w:sz="0" w:space="0" w:color="auto"/>
      </w:divBdr>
    </w:div>
    <w:div w:id="151553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hcp/clinical-care/post-covid-index.html" TargetMode="External"/><Relationship Id="rId13" Type="http://schemas.openxmlformats.org/officeDocument/2006/relationships/footer" Target="footer1.xml"/><Relationship Id="rId18" Type="http://schemas.openxmlformats.org/officeDocument/2006/relationships/hyperlink" Target="https://www.cdc.gov/coronavirus/2019-ncov/hcp/clinical-care/post-covid-public-health-recs.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cdc.gov/coronavirus/2019-ncov/hcp/clinical-care/post-covid-management.html"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ada.gov/long_covid_joint_guidanc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hcp/clinical-care/post-covid-workup.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nimrc.org/wp-content/uploads/2021/09/Defining-Characteristics-of-MRC2.pdf" TargetMode="External"/><Relationship Id="rId19" Type="http://schemas.openxmlformats.org/officeDocument/2006/relationships/hyperlink" Target="https://www.cdc.gov/coronavirus/2019-ncov/hcp/alternative-care-sites.html" TargetMode="External"/><Relationship Id="rId4" Type="http://schemas.openxmlformats.org/officeDocument/2006/relationships/settings" Target="settings.xml"/><Relationship Id="rId9" Type="http://schemas.openxmlformats.org/officeDocument/2006/relationships/hyperlink" Target="https://www.cdc.gov/coronavirus/2019-ncov/hcp/clinical-care/post-covid-clinical-eval.html" TargetMode="Externa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777164BF-5523-49DA-8815-BAC62EE8D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Dix</dc:creator>
  <cp:keywords/>
  <dc:description/>
  <cp:lastModifiedBy>Courtney Pladsen</cp:lastModifiedBy>
  <cp:revision>2</cp:revision>
  <cp:lastPrinted>2021-02-24T21:37:00Z</cp:lastPrinted>
  <dcterms:created xsi:type="dcterms:W3CDTF">2021-10-14T13:42:00Z</dcterms:created>
  <dcterms:modified xsi:type="dcterms:W3CDTF">2021-10-14T13:42:00Z</dcterms:modified>
</cp:coreProperties>
</file>